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CC0" w:rsidRDefault="007E3CC0" w:rsidP="007E3CC0">
      <w:pPr>
        <w:ind w:left="7920" w:firstLine="720"/>
        <w:jc w:val="center"/>
        <w:rPr>
          <w:rFonts w:ascii="Arial" w:hAnsi="Arial" w:cs="Arial"/>
          <w:b/>
          <w:color w:val="FF0000"/>
          <w:sz w:val="28"/>
          <w:szCs w:val="28"/>
          <w:lang w:val="en-GB"/>
        </w:rPr>
      </w:pPr>
      <w:bookmarkStart w:id="0" w:name="_GoBack"/>
      <w:bookmarkEnd w:id="0"/>
    </w:p>
    <w:p w:rsidR="007E3CC0" w:rsidRDefault="007E3CC0" w:rsidP="00B977CF">
      <w:pPr>
        <w:jc w:val="center"/>
        <w:rPr>
          <w:rFonts w:ascii="Arial" w:hAnsi="Arial" w:cs="Arial"/>
          <w:b/>
          <w:color w:val="FF0000"/>
          <w:sz w:val="28"/>
          <w:szCs w:val="28"/>
          <w:lang w:val="en-GB"/>
        </w:rPr>
      </w:pPr>
    </w:p>
    <w:p w:rsidR="00144611" w:rsidRPr="00846B1D" w:rsidRDefault="00864232" w:rsidP="00B977CF">
      <w:pPr>
        <w:jc w:val="center"/>
        <w:rPr>
          <w:rFonts w:ascii="Arial" w:hAnsi="Arial" w:cs="Arial"/>
          <w:b/>
          <w:color w:val="000000" w:themeColor="text1"/>
          <w:sz w:val="28"/>
          <w:szCs w:val="28"/>
          <w:lang w:val="en-GB"/>
        </w:rPr>
      </w:pPr>
      <w:r w:rsidRPr="00846B1D">
        <w:rPr>
          <w:rFonts w:ascii="Arial" w:hAnsi="Arial" w:cs="Arial"/>
          <w:b/>
          <w:color w:val="000000" w:themeColor="text1"/>
          <w:sz w:val="28"/>
          <w:szCs w:val="28"/>
          <w:lang w:val="en-GB"/>
        </w:rPr>
        <w:t>Medic</w:t>
      </w:r>
      <w:r w:rsidR="00AD49D0" w:rsidRPr="00846B1D">
        <w:rPr>
          <w:rFonts w:ascii="Arial" w:hAnsi="Arial" w:cs="Arial"/>
          <w:b/>
          <w:color w:val="000000" w:themeColor="text1"/>
          <w:sz w:val="28"/>
          <w:szCs w:val="28"/>
          <w:lang w:val="en-GB"/>
        </w:rPr>
        <w:t>ines Optimisation Plan 2014-15</w:t>
      </w:r>
    </w:p>
    <w:p w:rsidR="00DD5747" w:rsidRPr="00FA501A" w:rsidRDefault="00DD5747" w:rsidP="00B977CF">
      <w:pPr>
        <w:jc w:val="center"/>
        <w:rPr>
          <w:rFonts w:ascii="Arial" w:hAnsi="Arial" w:cs="Arial"/>
          <w:b/>
          <w:color w:val="000000"/>
          <w:sz w:val="18"/>
          <w:szCs w:val="28"/>
          <w:lang w:val="en-GB"/>
        </w:rPr>
      </w:pPr>
    </w:p>
    <w:p w:rsidR="003157EE" w:rsidRDefault="003157EE" w:rsidP="00DD5747">
      <w:pPr>
        <w:rPr>
          <w:rFonts w:ascii="Arial" w:hAnsi="Arial" w:cs="Arial"/>
          <w:b/>
          <w:color w:val="000000"/>
          <w:lang w:val="en-GB"/>
        </w:rPr>
      </w:pPr>
    </w:p>
    <w:p w:rsidR="003157EE" w:rsidRDefault="003157EE" w:rsidP="00DD5747">
      <w:pPr>
        <w:rPr>
          <w:rFonts w:ascii="Arial" w:hAnsi="Arial" w:cs="Arial"/>
          <w:b/>
          <w:color w:val="000000"/>
          <w:lang w:val="en-GB"/>
        </w:rPr>
      </w:pPr>
    </w:p>
    <w:p w:rsidR="00C71275" w:rsidRDefault="00C71275" w:rsidP="00DD5747">
      <w:pPr>
        <w:rPr>
          <w:rFonts w:ascii="Arial" w:hAnsi="Arial" w:cs="Arial"/>
          <w:color w:val="000000"/>
          <w:lang w:val="en-GB"/>
        </w:rPr>
      </w:pPr>
      <w:r>
        <w:rPr>
          <w:rFonts w:ascii="Arial" w:hAnsi="Arial" w:cs="Arial"/>
          <w:color w:val="000000"/>
          <w:lang w:val="en-GB"/>
        </w:rPr>
        <w:t>Medicines Management will continue to support the constituency in optimising patient outcomes wherever medicines are involved. This is balanced with the corporate strategic objectives which in turn link to the National Outcomes Framework. This highlights how the work carried out by medicines management permeates through the objectives and domains.</w:t>
      </w:r>
    </w:p>
    <w:p w:rsidR="00C71275" w:rsidRDefault="00C71275" w:rsidP="00DD5747">
      <w:pPr>
        <w:rPr>
          <w:rFonts w:ascii="Arial" w:hAnsi="Arial" w:cs="Arial"/>
          <w:color w:val="000000"/>
          <w:lang w:val="en-GB"/>
        </w:rPr>
      </w:pPr>
    </w:p>
    <w:p w:rsidR="00580F49" w:rsidRPr="00224374" w:rsidRDefault="003157EE" w:rsidP="00DD5747">
      <w:pPr>
        <w:rPr>
          <w:rFonts w:ascii="Arial" w:hAnsi="Arial" w:cs="Arial"/>
          <w:color w:val="000000"/>
          <w:lang w:val="en-GB"/>
        </w:rPr>
      </w:pPr>
      <w:r w:rsidRPr="00224374">
        <w:rPr>
          <w:rFonts w:ascii="Arial" w:hAnsi="Arial" w:cs="Arial"/>
          <w:color w:val="000000"/>
          <w:lang w:val="en-GB"/>
        </w:rPr>
        <w:t xml:space="preserve">The Medicines Optimisation Plan links to the </w:t>
      </w:r>
      <w:r w:rsidR="00580F49" w:rsidRPr="00224374">
        <w:rPr>
          <w:rFonts w:ascii="Arial" w:hAnsi="Arial" w:cs="Arial"/>
          <w:color w:val="000000"/>
          <w:lang w:val="en-GB"/>
        </w:rPr>
        <w:t>National Health Service Outcomes Framework (NOF)</w:t>
      </w:r>
      <w:r w:rsidRPr="00224374">
        <w:rPr>
          <w:rFonts w:ascii="Arial" w:hAnsi="Arial" w:cs="Arial"/>
          <w:color w:val="000000"/>
          <w:lang w:val="en-GB"/>
        </w:rPr>
        <w:t xml:space="preserve"> </w:t>
      </w:r>
      <w:proofErr w:type="gramStart"/>
      <w:r w:rsidRPr="00224374">
        <w:rPr>
          <w:rFonts w:ascii="Arial" w:hAnsi="Arial" w:cs="Arial"/>
          <w:color w:val="000000"/>
          <w:lang w:val="en-GB"/>
        </w:rPr>
        <w:t>domains :</w:t>
      </w:r>
      <w:proofErr w:type="gramEnd"/>
    </w:p>
    <w:p w:rsidR="00580F49" w:rsidRDefault="00580F49" w:rsidP="00DD5747">
      <w:pPr>
        <w:rPr>
          <w:rFonts w:ascii="Arial" w:hAnsi="Arial" w:cs="Arial"/>
          <w:b/>
          <w:color w:val="000000"/>
          <w:lang w:val="en-GB"/>
        </w:rPr>
      </w:pPr>
    </w:p>
    <w:p w:rsidR="00580F49" w:rsidRPr="00C71275" w:rsidRDefault="00580F49" w:rsidP="00DD5747">
      <w:pPr>
        <w:pStyle w:val="ListParagraph"/>
        <w:numPr>
          <w:ilvl w:val="0"/>
          <w:numId w:val="2"/>
        </w:numPr>
        <w:rPr>
          <w:rFonts w:ascii="Arial" w:hAnsi="Arial" w:cs="Arial"/>
          <w:color w:val="000000"/>
          <w:lang w:val="en-GB"/>
        </w:rPr>
      </w:pPr>
      <w:r w:rsidRPr="00224374">
        <w:rPr>
          <w:rFonts w:ascii="Arial" w:hAnsi="Arial" w:cs="Arial"/>
          <w:color w:val="000000"/>
          <w:lang w:val="en-GB"/>
        </w:rPr>
        <w:t>Preventing people from dying prematurely</w:t>
      </w:r>
    </w:p>
    <w:p w:rsidR="00580F49" w:rsidRPr="00C71275" w:rsidRDefault="00580F49" w:rsidP="00DD5747">
      <w:pPr>
        <w:pStyle w:val="ListParagraph"/>
        <w:numPr>
          <w:ilvl w:val="0"/>
          <w:numId w:val="2"/>
        </w:numPr>
        <w:rPr>
          <w:rFonts w:ascii="Arial" w:hAnsi="Arial" w:cs="Arial"/>
          <w:color w:val="000000"/>
          <w:lang w:val="en-GB"/>
        </w:rPr>
      </w:pPr>
      <w:r w:rsidRPr="00224374">
        <w:rPr>
          <w:rFonts w:ascii="Arial" w:hAnsi="Arial" w:cs="Arial"/>
          <w:color w:val="000000"/>
          <w:lang w:val="en-GB"/>
        </w:rPr>
        <w:t>Enhancing Quality of Life for People with long term conditions</w:t>
      </w:r>
    </w:p>
    <w:p w:rsidR="00580F49" w:rsidRPr="00C71275" w:rsidRDefault="00580F49" w:rsidP="00DD5747">
      <w:pPr>
        <w:pStyle w:val="ListParagraph"/>
        <w:numPr>
          <w:ilvl w:val="0"/>
          <w:numId w:val="2"/>
        </w:numPr>
        <w:rPr>
          <w:rFonts w:ascii="Arial" w:hAnsi="Arial" w:cs="Arial"/>
          <w:color w:val="000000"/>
          <w:lang w:val="en-GB"/>
        </w:rPr>
      </w:pPr>
      <w:r w:rsidRPr="00224374">
        <w:rPr>
          <w:rFonts w:ascii="Arial" w:hAnsi="Arial" w:cs="Arial"/>
          <w:color w:val="000000"/>
          <w:lang w:val="en-GB"/>
        </w:rPr>
        <w:t>Helping people to recover from episodes of ill health or following injury</w:t>
      </w:r>
    </w:p>
    <w:p w:rsidR="00580F49" w:rsidRPr="00C71275" w:rsidRDefault="00580F49" w:rsidP="00DD5747">
      <w:pPr>
        <w:pStyle w:val="ListParagraph"/>
        <w:numPr>
          <w:ilvl w:val="0"/>
          <w:numId w:val="2"/>
        </w:numPr>
        <w:rPr>
          <w:rFonts w:ascii="Arial" w:hAnsi="Arial" w:cs="Arial"/>
          <w:color w:val="000000"/>
          <w:lang w:val="en-GB"/>
        </w:rPr>
      </w:pPr>
      <w:r w:rsidRPr="00224374">
        <w:rPr>
          <w:rFonts w:ascii="Arial" w:hAnsi="Arial" w:cs="Arial"/>
          <w:color w:val="000000"/>
          <w:lang w:val="en-GB"/>
        </w:rPr>
        <w:t xml:space="preserve">Ensuring people have a positive experience of care </w:t>
      </w:r>
    </w:p>
    <w:p w:rsidR="00580F49" w:rsidRPr="00224374" w:rsidRDefault="00580F49" w:rsidP="00580F49">
      <w:pPr>
        <w:pStyle w:val="ListParagraph"/>
        <w:numPr>
          <w:ilvl w:val="0"/>
          <w:numId w:val="2"/>
        </w:numPr>
        <w:rPr>
          <w:rFonts w:ascii="Arial" w:hAnsi="Arial" w:cs="Arial"/>
          <w:color w:val="000000"/>
          <w:lang w:val="en-GB"/>
        </w:rPr>
      </w:pPr>
      <w:r w:rsidRPr="00224374">
        <w:rPr>
          <w:rFonts w:ascii="Arial" w:hAnsi="Arial" w:cs="Arial"/>
          <w:color w:val="000000"/>
          <w:lang w:val="en-GB"/>
        </w:rPr>
        <w:t>Treating and caring for people in a safe environment and protecting them from avoidable harm</w:t>
      </w:r>
    </w:p>
    <w:p w:rsidR="00580F49" w:rsidRPr="00580F49" w:rsidRDefault="00580F49" w:rsidP="00DD5747">
      <w:pPr>
        <w:rPr>
          <w:rFonts w:ascii="Arial" w:hAnsi="Arial" w:cs="Arial"/>
          <w:b/>
          <w:color w:val="000000"/>
          <w:lang w:val="en-GB"/>
        </w:rPr>
      </w:pPr>
    </w:p>
    <w:p w:rsidR="00580F49" w:rsidRDefault="003157EE" w:rsidP="00DD5747">
      <w:pPr>
        <w:rPr>
          <w:rFonts w:ascii="Arial" w:hAnsi="Arial" w:cs="Arial"/>
          <w:color w:val="000000"/>
          <w:lang w:val="en-GB"/>
        </w:rPr>
      </w:pPr>
      <w:r>
        <w:rPr>
          <w:rFonts w:ascii="Arial" w:hAnsi="Arial" w:cs="Arial"/>
          <w:color w:val="000000"/>
          <w:lang w:val="en-GB"/>
        </w:rPr>
        <w:t xml:space="preserve">The plan also refers to the CCG corporate strategic objectives listed </w:t>
      </w:r>
      <w:proofErr w:type="gramStart"/>
      <w:r>
        <w:rPr>
          <w:rFonts w:ascii="Arial" w:hAnsi="Arial" w:cs="Arial"/>
          <w:color w:val="000000"/>
          <w:lang w:val="en-GB"/>
        </w:rPr>
        <w:t>below :</w:t>
      </w:r>
      <w:proofErr w:type="gramEnd"/>
    </w:p>
    <w:p w:rsidR="003157EE" w:rsidRDefault="003157EE" w:rsidP="00DD5747">
      <w:pPr>
        <w:rPr>
          <w:rFonts w:ascii="Arial" w:hAnsi="Arial" w:cs="Arial"/>
          <w:color w:val="000000"/>
          <w:lang w:val="en-GB"/>
        </w:rPr>
      </w:pPr>
    </w:p>
    <w:p w:rsidR="003157EE" w:rsidRDefault="003157EE" w:rsidP="003157EE">
      <w:pPr>
        <w:pStyle w:val="ListParagraph"/>
        <w:numPr>
          <w:ilvl w:val="0"/>
          <w:numId w:val="3"/>
        </w:numPr>
        <w:rPr>
          <w:rFonts w:ascii="Arial" w:hAnsi="Arial" w:cs="Arial"/>
          <w:color w:val="000000"/>
          <w:lang w:val="en-GB"/>
        </w:rPr>
      </w:pPr>
      <w:r>
        <w:rPr>
          <w:rFonts w:ascii="Arial" w:hAnsi="Arial" w:cs="Arial"/>
          <w:color w:val="000000"/>
          <w:lang w:val="en-GB"/>
        </w:rPr>
        <w:t>Consolidate a robust CCG strategic plan within a financial envelope</w:t>
      </w:r>
    </w:p>
    <w:p w:rsidR="003157EE" w:rsidRDefault="00224374" w:rsidP="003157EE">
      <w:pPr>
        <w:pStyle w:val="ListParagraph"/>
        <w:numPr>
          <w:ilvl w:val="0"/>
          <w:numId w:val="3"/>
        </w:numPr>
        <w:rPr>
          <w:rFonts w:ascii="Arial" w:hAnsi="Arial" w:cs="Arial"/>
          <w:color w:val="000000"/>
          <w:lang w:val="en-GB"/>
        </w:rPr>
      </w:pPr>
      <w:r>
        <w:rPr>
          <w:rFonts w:ascii="Arial" w:hAnsi="Arial" w:cs="Arial"/>
          <w:color w:val="000000"/>
          <w:lang w:val="en-GB"/>
        </w:rPr>
        <w:t>Mainta</w:t>
      </w:r>
      <w:r w:rsidR="003157EE">
        <w:rPr>
          <w:rFonts w:ascii="Arial" w:hAnsi="Arial" w:cs="Arial"/>
          <w:color w:val="000000"/>
          <w:lang w:val="en-GB"/>
        </w:rPr>
        <w:t>in systems to ensure quality and safety of patient care</w:t>
      </w:r>
    </w:p>
    <w:p w:rsidR="00224374" w:rsidRDefault="00224374" w:rsidP="003157EE">
      <w:pPr>
        <w:pStyle w:val="ListParagraph"/>
        <w:numPr>
          <w:ilvl w:val="0"/>
          <w:numId w:val="3"/>
        </w:numPr>
        <w:rPr>
          <w:rFonts w:ascii="Arial" w:hAnsi="Arial" w:cs="Arial"/>
          <w:color w:val="000000"/>
          <w:lang w:val="en-GB"/>
        </w:rPr>
      </w:pPr>
      <w:r>
        <w:rPr>
          <w:rFonts w:ascii="Arial" w:hAnsi="Arial" w:cs="Arial"/>
          <w:color w:val="000000"/>
          <w:lang w:val="en-GB"/>
        </w:rPr>
        <w:t>Deliver through establishment of PMO approach to CCG programmes</w:t>
      </w:r>
    </w:p>
    <w:p w:rsidR="00224374" w:rsidRDefault="00224374" w:rsidP="003157EE">
      <w:pPr>
        <w:pStyle w:val="ListParagraph"/>
        <w:numPr>
          <w:ilvl w:val="0"/>
          <w:numId w:val="3"/>
        </w:numPr>
        <w:rPr>
          <w:rFonts w:ascii="Arial" w:hAnsi="Arial" w:cs="Arial"/>
          <w:color w:val="000000"/>
          <w:lang w:val="en-GB"/>
        </w:rPr>
      </w:pPr>
      <w:r>
        <w:rPr>
          <w:rFonts w:ascii="Arial" w:hAnsi="Arial" w:cs="Arial"/>
          <w:color w:val="000000"/>
          <w:lang w:val="en-GB"/>
        </w:rPr>
        <w:t>Ensure C&amp;M CSU deliver successful support to the CCG</w:t>
      </w:r>
    </w:p>
    <w:p w:rsidR="00224374" w:rsidRDefault="00224374" w:rsidP="003157EE">
      <w:pPr>
        <w:pStyle w:val="ListParagraph"/>
        <w:numPr>
          <w:ilvl w:val="0"/>
          <w:numId w:val="3"/>
        </w:numPr>
        <w:rPr>
          <w:rFonts w:ascii="Arial" w:hAnsi="Arial" w:cs="Arial"/>
          <w:color w:val="000000"/>
          <w:lang w:val="en-GB"/>
        </w:rPr>
      </w:pPr>
      <w:r>
        <w:rPr>
          <w:rFonts w:ascii="Arial" w:hAnsi="Arial" w:cs="Arial"/>
          <w:color w:val="000000"/>
          <w:lang w:val="en-GB"/>
        </w:rPr>
        <w:t>Sustain engagement of CCG members, partners and stakeholder</w:t>
      </w:r>
    </w:p>
    <w:p w:rsidR="00224374" w:rsidRDefault="00224374" w:rsidP="003157EE">
      <w:pPr>
        <w:pStyle w:val="ListParagraph"/>
        <w:numPr>
          <w:ilvl w:val="0"/>
          <w:numId w:val="3"/>
        </w:numPr>
        <w:rPr>
          <w:rFonts w:ascii="Arial" w:hAnsi="Arial" w:cs="Arial"/>
          <w:color w:val="000000"/>
          <w:lang w:val="en-GB"/>
        </w:rPr>
      </w:pPr>
      <w:r>
        <w:rPr>
          <w:rFonts w:ascii="Arial" w:hAnsi="Arial" w:cs="Arial"/>
          <w:color w:val="000000"/>
          <w:lang w:val="en-GB"/>
        </w:rPr>
        <w:t>Drive clinical leadership development through Governing body, locality and wider constituency</w:t>
      </w:r>
    </w:p>
    <w:p w:rsidR="00224374" w:rsidRDefault="00224374" w:rsidP="00224374">
      <w:pPr>
        <w:pStyle w:val="ListParagraph"/>
        <w:rPr>
          <w:rFonts w:ascii="Arial" w:hAnsi="Arial" w:cs="Arial"/>
          <w:color w:val="000000"/>
          <w:lang w:val="en-GB"/>
        </w:rPr>
      </w:pPr>
    </w:p>
    <w:p w:rsidR="00224374" w:rsidRPr="003157EE" w:rsidRDefault="00C71275" w:rsidP="00224374">
      <w:pPr>
        <w:pStyle w:val="ListParagraph"/>
        <w:rPr>
          <w:rFonts w:ascii="Arial" w:hAnsi="Arial" w:cs="Arial"/>
          <w:color w:val="000000"/>
          <w:lang w:val="en-GB"/>
        </w:rPr>
      </w:pPr>
      <w:r>
        <w:rPr>
          <w:rFonts w:ascii="Arial" w:hAnsi="Arial" w:cs="Arial"/>
          <w:color w:val="000000"/>
          <w:lang w:val="en-GB"/>
        </w:rPr>
        <w:t>We will work towards an</w:t>
      </w:r>
      <w:r w:rsidR="00224374">
        <w:rPr>
          <w:rFonts w:ascii="Arial" w:hAnsi="Arial" w:cs="Arial"/>
          <w:color w:val="000000"/>
          <w:lang w:val="en-GB"/>
        </w:rPr>
        <w:t xml:space="preserve"> overall objective of promoting high quality, value for money prescribing.</w:t>
      </w:r>
    </w:p>
    <w:p w:rsidR="003157EE" w:rsidRDefault="003157EE" w:rsidP="00DD5747">
      <w:pPr>
        <w:rPr>
          <w:rFonts w:ascii="Arial" w:hAnsi="Arial" w:cs="Arial"/>
          <w:color w:val="000000"/>
          <w:lang w:val="en-GB"/>
        </w:rPr>
      </w:pPr>
    </w:p>
    <w:p w:rsidR="00DD5747" w:rsidRDefault="00DD5747" w:rsidP="00DD5747">
      <w:pPr>
        <w:rPr>
          <w:rFonts w:ascii="Arial" w:hAnsi="Arial" w:cs="Arial"/>
          <w:color w:val="000000"/>
          <w:lang w:val="en-GB"/>
        </w:rPr>
      </w:pPr>
      <w:r>
        <w:rPr>
          <w:rFonts w:ascii="Arial" w:hAnsi="Arial" w:cs="Arial"/>
          <w:color w:val="000000"/>
          <w:lang w:val="en-GB"/>
        </w:rPr>
        <w:lastRenderedPageBreak/>
        <w:t>Potential s</w:t>
      </w:r>
      <w:r w:rsidRPr="003A1AC5">
        <w:rPr>
          <w:rFonts w:ascii="Arial" w:hAnsi="Arial" w:cs="Arial"/>
          <w:color w:val="000000"/>
          <w:lang w:val="en-GB"/>
        </w:rPr>
        <w:t xml:space="preserve">avings can be identified in therapeutic areas per BNF category to allow for measurement of performance and to focus activity. Measurement of savings as a performance indicator will be agreed to take into account any impact of secondary care prescribing. </w:t>
      </w:r>
      <w:r>
        <w:rPr>
          <w:rFonts w:ascii="Arial" w:hAnsi="Arial" w:cs="Arial"/>
          <w:color w:val="000000"/>
          <w:lang w:val="en-GB"/>
        </w:rPr>
        <w:t xml:space="preserve">The potential savings are aspirational and provide a theoretical value on action taken for every medicine on day one of the first quarter and projected across the year. </w:t>
      </w:r>
      <w:r w:rsidRPr="003A1AC5">
        <w:rPr>
          <w:rFonts w:ascii="Arial" w:hAnsi="Arial" w:cs="Arial"/>
          <w:color w:val="000000"/>
          <w:lang w:val="en-GB"/>
        </w:rPr>
        <w:t xml:space="preserve">This </w:t>
      </w:r>
      <w:r>
        <w:rPr>
          <w:rFonts w:ascii="Arial" w:hAnsi="Arial" w:cs="Arial"/>
          <w:color w:val="000000"/>
          <w:lang w:val="en-GB"/>
        </w:rPr>
        <w:t xml:space="preserve">list of BNF therapeutic areas </w:t>
      </w:r>
      <w:r w:rsidRPr="003A1AC5">
        <w:rPr>
          <w:rFonts w:ascii="Arial" w:hAnsi="Arial" w:cs="Arial"/>
          <w:color w:val="000000"/>
          <w:lang w:val="en-GB"/>
        </w:rPr>
        <w:t>is not exhaustive.</w:t>
      </w:r>
    </w:p>
    <w:p w:rsidR="003157EE" w:rsidRDefault="003157EE" w:rsidP="00DD5747">
      <w:pPr>
        <w:rPr>
          <w:rFonts w:ascii="Arial" w:hAnsi="Arial" w:cs="Arial"/>
          <w:color w:val="000000"/>
          <w:lang w:val="en-GB"/>
        </w:rPr>
      </w:pPr>
    </w:p>
    <w:p w:rsidR="00144611" w:rsidRPr="00FA501A" w:rsidRDefault="00144611">
      <w:pPr>
        <w:rPr>
          <w:rFonts w:ascii="Arial" w:hAnsi="Arial" w:cs="Arial"/>
          <w:color w:val="000000"/>
          <w:sz w:val="16"/>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2696"/>
        <w:gridCol w:w="1700"/>
        <w:gridCol w:w="13"/>
        <w:gridCol w:w="8"/>
        <w:gridCol w:w="1681"/>
        <w:gridCol w:w="1186"/>
        <w:gridCol w:w="1225"/>
        <w:gridCol w:w="1275"/>
        <w:gridCol w:w="1584"/>
      </w:tblGrid>
      <w:tr w:rsidR="005A6A44" w:rsidRPr="00B966EF" w:rsidTr="00961215">
        <w:trPr>
          <w:trHeight w:val="1424"/>
        </w:trPr>
        <w:tc>
          <w:tcPr>
            <w:tcW w:w="686" w:type="pct"/>
            <w:vMerge w:val="restart"/>
            <w:shd w:val="clear" w:color="auto" w:fill="auto"/>
            <w:vAlign w:val="center"/>
          </w:tcPr>
          <w:p w:rsidR="00EA1F23" w:rsidRPr="005A6A44" w:rsidRDefault="00EA1F23" w:rsidP="0092037E">
            <w:pPr>
              <w:jc w:val="center"/>
              <w:rPr>
                <w:rFonts w:ascii="Arial" w:hAnsi="Arial" w:cs="Arial"/>
                <w:b/>
                <w:color w:val="000000"/>
                <w:lang w:val="en-GB"/>
              </w:rPr>
            </w:pPr>
            <w:r w:rsidRPr="005A6A44">
              <w:rPr>
                <w:rFonts w:ascii="Arial" w:hAnsi="Arial" w:cs="Arial"/>
                <w:b/>
                <w:color w:val="000000"/>
                <w:lang w:val="en-GB"/>
              </w:rPr>
              <w:t>Therapeutic Area</w:t>
            </w:r>
          </w:p>
        </w:tc>
        <w:tc>
          <w:tcPr>
            <w:tcW w:w="1023" w:type="pct"/>
            <w:vMerge w:val="restart"/>
            <w:shd w:val="clear" w:color="auto" w:fill="auto"/>
            <w:vAlign w:val="center"/>
          </w:tcPr>
          <w:p w:rsidR="00EA1F23" w:rsidRPr="005A6A44" w:rsidRDefault="00EA1F23" w:rsidP="00290058">
            <w:pPr>
              <w:jc w:val="center"/>
              <w:rPr>
                <w:rFonts w:ascii="Arial" w:hAnsi="Arial" w:cs="Arial"/>
                <w:b/>
                <w:color w:val="000000"/>
                <w:lang w:val="en-GB"/>
              </w:rPr>
            </w:pPr>
            <w:r w:rsidRPr="005A6A44">
              <w:rPr>
                <w:rFonts w:ascii="Arial" w:hAnsi="Arial" w:cs="Arial"/>
                <w:b/>
                <w:color w:val="000000"/>
                <w:lang w:val="en-GB"/>
              </w:rPr>
              <w:t>Definition</w:t>
            </w:r>
          </w:p>
        </w:tc>
        <w:tc>
          <w:tcPr>
            <w:tcW w:w="650" w:type="pct"/>
            <w:gridSpan w:val="2"/>
            <w:vMerge w:val="restart"/>
            <w:vAlign w:val="center"/>
          </w:tcPr>
          <w:p w:rsidR="00EA1F23" w:rsidRPr="005A6A44" w:rsidRDefault="00EA1F23" w:rsidP="00290058">
            <w:pPr>
              <w:jc w:val="center"/>
              <w:rPr>
                <w:rFonts w:ascii="Arial" w:hAnsi="Arial" w:cs="Arial"/>
                <w:b/>
                <w:color w:val="000000"/>
                <w:lang w:val="en-GB"/>
              </w:rPr>
            </w:pPr>
            <w:r w:rsidRPr="005A6A44">
              <w:rPr>
                <w:rFonts w:ascii="Arial" w:hAnsi="Arial" w:cs="Arial"/>
                <w:b/>
                <w:color w:val="000000"/>
                <w:lang w:val="en-GB"/>
              </w:rPr>
              <w:t>Units</w:t>
            </w:r>
          </w:p>
        </w:tc>
        <w:tc>
          <w:tcPr>
            <w:tcW w:w="641" w:type="pct"/>
            <w:gridSpan w:val="2"/>
            <w:vMerge w:val="restart"/>
            <w:vAlign w:val="center"/>
          </w:tcPr>
          <w:p w:rsidR="00EA1F23" w:rsidRPr="005A6A44" w:rsidRDefault="00EA1F23" w:rsidP="00290058">
            <w:pPr>
              <w:jc w:val="center"/>
              <w:rPr>
                <w:rFonts w:ascii="Arial" w:hAnsi="Arial" w:cs="Arial"/>
                <w:b/>
                <w:color w:val="000000"/>
                <w:lang w:val="en-GB"/>
              </w:rPr>
            </w:pPr>
            <w:r w:rsidRPr="005A6A44">
              <w:rPr>
                <w:rFonts w:ascii="Arial" w:hAnsi="Arial" w:cs="Arial"/>
                <w:b/>
                <w:color w:val="000000"/>
                <w:lang w:val="en-GB"/>
              </w:rPr>
              <w:t>Target savings or outcome</w:t>
            </w:r>
          </w:p>
        </w:tc>
        <w:tc>
          <w:tcPr>
            <w:tcW w:w="915" w:type="pct"/>
            <w:gridSpan w:val="2"/>
            <w:shd w:val="clear" w:color="auto" w:fill="auto"/>
            <w:vAlign w:val="center"/>
          </w:tcPr>
          <w:p w:rsidR="00EA1F23" w:rsidRPr="005A6A44" w:rsidRDefault="00EA1F23" w:rsidP="00FA501A">
            <w:pPr>
              <w:jc w:val="center"/>
              <w:rPr>
                <w:rFonts w:ascii="Arial Narrow" w:hAnsi="Arial Narrow" w:cs="Arial"/>
                <w:color w:val="000000"/>
                <w:lang w:val="en-GB"/>
              </w:rPr>
            </w:pPr>
            <w:r w:rsidRPr="005A6A44">
              <w:rPr>
                <w:rFonts w:ascii="Arial" w:hAnsi="Arial" w:cs="Arial"/>
                <w:b/>
                <w:color w:val="000000"/>
                <w:lang w:val="en-GB"/>
              </w:rPr>
              <w:t>Potential Annual Savings (£)</w:t>
            </w:r>
          </w:p>
        </w:tc>
        <w:tc>
          <w:tcPr>
            <w:tcW w:w="484" w:type="pct"/>
          </w:tcPr>
          <w:p w:rsidR="00EA1F23" w:rsidRPr="005A6A44" w:rsidRDefault="00EA1F23" w:rsidP="00FA501A">
            <w:pPr>
              <w:jc w:val="center"/>
              <w:rPr>
                <w:rFonts w:ascii="Arial" w:hAnsi="Arial" w:cs="Arial"/>
                <w:b/>
                <w:color w:val="000000"/>
                <w:lang w:val="en-GB"/>
              </w:rPr>
            </w:pPr>
          </w:p>
          <w:p w:rsidR="00EA1F23" w:rsidRPr="005A6A44" w:rsidRDefault="00EA1F23" w:rsidP="00FA501A">
            <w:pPr>
              <w:jc w:val="center"/>
              <w:rPr>
                <w:rFonts w:ascii="Arial" w:hAnsi="Arial" w:cs="Arial"/>
                <w:b/>
                <w:color w:val="000000"/>
                <w:lang w:val="en-GB"/>
              </w:rPr>
            </w:pPr>
            <w:r w:rsidRPr="005A6A44">
              <w:rPr>
                <w:rFonts w:ascii="Arial" w:hAnsi="Arial" w:cs="Arial"/>
                <w:b/>
                <w:color w:val="000000"/>
                <w:lang w:val="en-GB"/>
              </w:rPr>
              <w:t>NOF</w:t>
            </w:r>
          </w:p>
          <w:p w:rsidR="00EA1F23" w:rsidRPr="005A6A44" w:rsidRDefault="00EA1F23" w:rsidP="00FA501A">
            <w:pPr>
              <w:jc w:val="center"/>
              <w:rPr>
                <w:rFonts w:ascii="Arial" w:hAnsi="Arial" w:cs="Arial"/>
                <w:b/>
                <w:color w:val="000000"/>
                <w:lang w:val="en-GB"/>
              </w:rPr>
            </w:pPr>
            <w:r w:rsidRPr="005A6A44">
              <w:rPr>
                <w:rFonts w:ascii="Arial" w:hAnsi="Arial" w:cs="Arial"/>
                <w:b/>
                <w:color w:val="000000"/>
                <w:lang w:val="en-GB"/>
              </w:rPr>
              <w:t>Domain</w:t>
            </w:r>
          </w:p>
        </w:tc>
        <w:tc>
          <w:tcPr>
            <w:tcW w:w="601" w:type="pct"/>
          </w:tcPr>
          <w:p w:rsidR="00EA1F23" w:rsidRPr="005A6A44" w:rsidRDefault="00EA1F23" w:rsidP="00FA501A">
            <w:pPr>
              <w:jc w:val="center"/>
              <w:rPr>
                <w:rFonts w:ascii="Arial" w:hAnsi="Arial" w:cs="Arial"/>
                <w:b/>
                <w:color w:val="000000"/>
                <w:lang w:val="en-GB"/>
              </w:rPr>
            </w:pPr>
            <w:r w:rsidRPr="005A6A44">
              <w:rPr>
                <w:rFonts w:ascii="Arial" w:hAnsi="Arial" w:cs="Arial"/>
                <w:b/>
                <w:color w:val="000000"/>
                <w:lang w:val="en-GB"/>
              </w:rPr>
              <w:t>Corporate Strategic Objectives</w:t>
            </w:r>
          </w:p>
        </w:tc>
      </w:tr>
      <w:tr w:rsidR="005A6A44" w:rsidRPr="00733E3A" w:rsidTr="00961215">
        <w:trPr>
          <w:trHeight w:val="551"/>
        </w:trPr>
        <w:tc>
          <w:tcPr>
            <w:tcW w:w="686" w:type="pct"/>
            <w:vMerge/>
            <w:shd w:val="clear" w:color="auto" w:fill="auto"/>
            <w:vAlign w:val="center"/>
          </w:tcPr>
          <w:p w:rsidR="00EA1F23" w:rsidRPr="00733E3A" w:rsidRDefault="00EA1F23" w:rsidP="0092037E">
            <w:pPr>
              <w:jc w:val="center"/>
              <w:rPr>
                <w:rFonts w:ascii="Arial" w:hAnsi="Arial" w:cs="Arial"/>
                <w:b/>
                <w:color w:val="000000"/>
                <w:sz w:val="22"/>
                <w:szCs w:val="22"/>
                <w:lang w:val="en-GB"/>
              </w:rPr>
            </w:pPr>
          </w:p>
        </w:tc>
        <w:tc>
          <w:tcPr>
            <w:tcW w:w="1023" w:type="pct"/>
            <w:vMerge/>
            <w:shd w:val="clear" w:color="auto" w:fill="auto"/>
            <w:vAlign w:val="center"/>
          </w:tcPr>
          <w:p w:rsidR="00EA1F23" w:rsidRPr="00733E3A" w:rsidRDefault="00EA1F23" w:rsidP="00290058">
            <w:pPr>
              <w:jc w:val="center"/>
              <w:rPr>
                <w:rFonts w:ascii="Arial" w:hAnsi="Arial" w:cs="Arial"/>
                <w:b/>
                <w:color w:val="000000"/>
                <w:sz w:val="22"/>
                <w:szCs w:val="22"/>
                <w:lang w:val="en-GB"/>
              </w:rPr>
            </w:pPr>
          </w:p>
        </w:tc>
        <w:tc>
          <w:tcPr>
            <w:tcW w:w="650" w:type="pct"/>
            <w:gridSpan w:val="2"/>
            <w:vMerge/>
            <w:vAlign w:val="center"/>
          </w:tcPr>
          <w:p w:rsidR="00EA1F23" w:rsidRPr="00B966EF" w:rsidRDefault="00EA1F23" w:rsidP="00290058">
            <w:pPr>
              <w:jc w:val="center"/>
              <w:rPr>
                <w:rFonts w:ascii="Arial" w:hAnsi="Arial" w:cs="Arial"/>
                <w:color w:val="000000"/>
                <w:sz w:val="22"/>
                <w:szCs w:val="22"/>
                <w:lang w:val="en-GB"/>
              </w:rPr>
            </w:pPr>
          </w:p>
        </w:tc>
        <w:tc>
          <w:tcPr>
            <w:tcW w:w="641" w:type="pct"/>
            <w:gridSpan w:val="2"/>
            <w:vMerge/>
            <w:vAlign w:val="center"/>
          </w:tcPr>
          <w:p w:rsidR="00EA1F23" w:rsidRPr="00733E3A" w:rsidRDefault="00EA1F23" w:rsidP="00290058">
            <w:pPr>
              <w:jc w:val="center"/>
              <w:rPr>
                <w:rFonts w:ascii="Arial" w:hAnsi="Arial" w:cs="Arial"/>
                <w:b/>
                <w:color w:val="000000"/>
                <w:sz w:val="22"/>
                <w:szCs w:val="22"/>
                <w:lang w:val="en-GB"/>
              </w:rPr>
            </w:pPr>
          </w:p>
        </w:tc>
        <w:tc>
          <w:tcPr>
            <w:tcW w:w="450" w:type="pct"/>
            <w:shd w:val="clear" w:color="auto" w:fill="auto"/>
            <w:vAlign w:val="center"/>
          </w:tcPr>
          <w:p w:rsidR="00EA1F23" w:rsidRPr="00733E3A" w:rsidRDefault="00EA1F23" w:rsidP="00290058">
            <w:pPr>
              <w:jc w:val="center"/>
              <w:rPr>
                <w:rFonts w:ascii="Arial" w:hAnsi="Arial" w:cs="Arial"/>
                <w:b/>
                <w:color w:val="000000"/>
                <w:sz w:val="22"/>
                <w:szCs w:val="22"/>
                <w:lang w:val="en-GB"/>
              </w:rPr>
            </w:pPr>
            <w:r>
              <w:rPr>
                <w:rFonts w:ascii="Arial" w:hAnsi="Arial" w:cs="Arial"/>
                <w:b/>
                <w:color w:val="000000"/>
                <w:sz w:val="22"/>
                <w:szCs w:val="22"/>
                <w:lang w:val="en-GB"/>
              </w:rPr>
              <w:t>Southport and Formby CCG</w:t>
            </w:r>
          </w:p>
        </w:tc>
        <w:tc>
          <w:tcPr>
            <w:tcW w:w="465" w:type="pct"/>
            <w:shd w:val="clear" w:color="auto" w:fill="auto"/>
            <w:vAlign w:val="center"/>
          </w:tcPr>
          <w:p w:rsidR="00EA1F23" w:rsidRPr="00733E3A" w:rsidRDefault="00EA1F23" w:rsidP="00290058">
            <w:pPr>
              <w:jc w:val="center"/>
              <w:rPr>
                <w:rFonts w:ascii="Arial" w:hAnsi="Arial" w:cs="Arial"/>
                <w:b/>
                <w:color w:val="000000"/>
                <w:sz w:val="22"/>
                <w:szCs w:val="22"/>
                <w:lang w:val="en-GB"/>
              </w:rPr>
            </w:pPr>
            <w:r>
              <w:rPr>
                <w:rFonts w:ascii="Arial" w:hAnsi="Arial" w:cs="Arial"/>
                <w:b/>
                <w:color w:val="000000"/>
                <w:sz w:val="22"/>
                <w:szCs w:val="22"/>
                <w:lang w:val="en-GB"/>
              </w:rPr>
              <w:t>South Sefton CCG</w:t>
            </w:r>
          </w:p>
        </w:tc>
        <w:tc>
          <w:tcPr>
            <w:tcW w:w="484" w:type="pct"/>
          </w:tcPr>
          <w:p w:rsidR="00EA1F23" w:rsidRDefault="00EA1F23" w:rsidP="00290058">
            <w:pPr>
              <w:jc w:val="center"/>
              <w:rPr>
                <w:rFonts w:ascii="Arial" w:hAnsi="Arial" w:cs="Arial"/>
                <w:b/>
                <w:color w:val="000000"/>
                <w:sz w:val="22"/>
                <w:szCs w:val="22"/>
                <w:lang w:val="en-GB"/>
              </w:rPr>
            </w:pPr>
          </w:p>
        </w:tc>
        <w:tc>
          <w:tcPr>
            <w:tcW w:w="601" w:type="pct"/>
          </w:tcPr>
          <w:p w:rsidR="00EA1F23" w:rsidRDefault="00EA1F23" w:rsidP="00290058">
            <w:pPr>
              <w:jc w:val="center"/>
              <w:rPr>
                <w:rFonts w:ascii="Arial" w:hAnsi="Arial" w:cs="Arial"/>
                <w:b/>
                <w:color w:val="000000"/>
                <w:sz w:val="22"/>
                <w:szCs w:val="22"/>
                <w:lang w:val="en-GB"/>
              </w:rPr>
            </w:pPr>
          </w:p>
        </w:tc>
      </w:tr>
      <w:tr w:rsidR="005A6A44" w:rsidRPr="00733E3A" w:rsidTr="00961215">
        <w:trPr>
          <w:trHeight w:val="1771"/>
        </w:trPr>
        <w:tc>
          <w:tcPr>
            <w:tcW w:w="686" w:type="pct"/>
            <w:shd w:val="clear" w:color="auto" w:fill="auto"/>
            <w:vAlign w:val="center"/>
          </w:tcPr>
          <w:p w:rsidR="00EA1F23" w:rsidRPr="00733E3A" w:rsidRDefault="00EA1F23" w:rsidP="0092037E">
            <w:pPr>
              <w:jc w:val="center"/>
              <w:rPr>
                <w:rFonts w:ascii="Arial" w:hAnsi="Arial" w:cs="Arial"/>
                <w:color w:val="000000"/>
                <w:sz w:val="22"/>
                <w:szCs w:val="22"/>
                <w:lang w:val="en-GB"/>
              </w:rPr>
            </w:pPr>
            <w:r w:rsidRPr="00733E3A">
              <w:rPr>
                <w:rFonts w:ascii="Arial" w:hAnsi="Arial" w:cs="Arial"/>
                <w:color w:val="000000"/>
                <w:sz w:val="22"/>
                <w:szCs w:val="22"/>
                <w:lang w:val="en-GB"/>
              </w:rPr>
              <w:t>Proton Pump Inhibitors</w:t>
            </w:r>
          </w:p>
        </w:tc>
        <w:tc>
          <w:tcPr>
            <w:tcW w:w="1023" w:type="pct"/>
            <w:shd w:val="clear" w:color="auto" w:fill="auto"/>
          </w:tcPr>
          <w:p w:rsidR="00EA1F23" w:rsidRPr="00872E4D" w:rsidRDefault="00EA1F23" w:rsidP="00720937">
            <w:pPr>
              <w:rPr>
                <w:rFonts w:ascii="Arial" w:hAnsi="Arial" w:cs="Arial"/>
                <w:color w:val="000000"/>
                <w:sz w:val="22"/>
                <w:szCs w:val="22"/>
                <w:lang w:val="en-GB"/>
              </w:rPr>
            </w:pPr>
            <w:r>
              <w:rPr>
                <w:rFonts w:ascii="Arial" w:hAnsi="Arial" w:cs="Arial"/>
                <w:color w:val="000000"/>
                <w:sz w:val="22"/>
                <w:szCs w:val="22"/>
                <w:lang w:val="en-GB"/>
              </w:rPr>
              <w:t xml:space="preserve">Local </w:t>
            </w:r>
            <w:proofErr w:type="spellStart"/>
            <w:r>
              <w:rPr>
                <w:rFonts w:ascii="Arial" w:hAnsi="Arial" w:cs="Arial"/>
                <w:color w:val="000000"/>
                <w:sz w:val="22"/>
                <w:szCs w:val="22"/>
                <w:lang w:val="en-GB"/>
              </w:rPr>
              <w:t>workstream</w:t>
            </w:r>
            <w:proofErr w:type="spellEnd"/>
            <w:r>
              <w:rPr>
                <w:rFonts w:ascii="Arial" w:hAnsi="Arial" w:cs="Arial"/>
                <w:color w:val="000000"/>
                <w:sz w:val="22"/>
                <w:szCs w:val="22"/>
                <w:lang w:val="en-GB"/>
              </w:rPr>
              <w:t>. Review and where appropriate revise the prescribing of high dose PPIs in line with NICE guidance.  Review &amp; implement step down &amp; stop PPIs in line with NICE guidance.</w:t>
            </w:r>
          </w:p>
        </w:tc>
        <w:tc>
          <w:tcPr>
            <w:tcW w:w="650" w:type="pct"/>
            <w:gridSpan w:val="2"/>
          </w:tcPr>
          <w:p w:rsidR="00EA1F23" w:rsidRPr="00BA07A2" w:rsidRDefault="00EA1F23" w:rsidP="00720937">
            <w:pPr>
              <w:rPr>
                <w:rFonts w:ascii="Arial" w:hAnsi="Arial" w:cs="Arial"/>
                <w:color w:val="000000"/>
                <w:sz w:val="22"/>
                <w:szCs w:val="22"/>
                <w:lang w:val="en-GB"/>
              </w:rPr>
            </w:pPr>
            <w:r>
              <w:rPr>
                <w:rFonts w:ascii="Arial" w:hAnsi="Arial" w:cs="Arial"/>
                <w:color w:val="000000"/>
                <w:sz w:val="22"/>
                <w:szCs w:val="22"/>
                <w:lang w:val="en-GB"/>
              </w:rPr>
              <w:t>Audit of high dose PPI prescribing</w:t>
            </w:r>
          </w:p>
        </w:tc>
        <w:tc>
          <w:tcPr>
            <w:tcW w:w="641" w:type="pct"/>
            <w:gridSpan w:val="2"/>
          </w:tcPr>
          <w:p w:rsidR="00EA1F23" w:rsidRPr="00733E3A" w:rsidRDefault="00EA1F23" w:rsidP="00720937">
            <w:pPr>
              <w:rPr>
                <w:rFonts w:ascii="Arial" w:hAnsi="Arial" w:cs="Arial"/>
                <w:color w:val="000000"/>
                <w:sz w:val="22"/>
                <w:szCs w:val="22"/>
                <w:lang w:val="en-GB"/>
              </w:rPr>
            </w:pPr>
            <w:r w:rsidRPr="00861CAE">
              <w:rPr>
                <w:rFonts w:ascii="Arial" w:hAnsi="Arial" w:cs="Arial"/>
                <w:color w:val="000000"/>
                <w:sz w:val="22"/>
                <w:szCs w:val="22"/>
                <w:lang w:val="en-GB"/>
              </w:rPr>
              <w:t xml:space="preserve">All high dose </w:t>
            </w:r>
            <w:r>
              <w:rPr>
                <w:rFonts w:ascii="Arial" w:hAnsi="Arial" w:cs="Arial"/>
                <w:color w:val="000000"/>
                <w:sz w:val="22"/>
                <w:szCs w:val="22"/>
                <w:lang w:val="en-GB"/>
              </w:rPr>
              <w:t xml:space="preserve">PPI </w:t>
            </w:r>
            <w:r w:rsidRPr="00861CAE">
              <w:rPr>
                <w:rFonts w:ascii="Arial" w:hAnsi="Arial" w:cs="Arial"/>
                <w:color w:val="000000"/>
                <w:sz w:val="22"/>
                <w:szCs w:val="22"/>
                <w:lang w:val="en-GB"/>
              </w:rPr>
              <w:t xml:space="preserve">prescribing reviewed </w:t>
            </w:r>
            <w:r>
              <w:rPr>
                <w:rFonts w:ascii="Arial" w:hAnsi="Arial" w:cs="Arial"/>
                <w:color w:val="000000"/>
                <w:sz w:val="22"/>
                <w:szCs w:val="22"/>
                <w:lang w:val="en-GB"/>
              </w:rPr>
              <w:t>&amp; step down / stop as indicated</w:t>
            </w:r>
          </w:p>
        </w:tc>
        <w:tc>
          <w:tcPr>
            <w:tcW w:w="915" w:type="pct"/>
            <w:gridSpan w:val="2"/>
            <w:shd w:val="clear" w:color="auto" w:fill="auto"/>
          </w:tcPr>
          <w:p w:rsidR="00EA1F23" w:rsidRPr="00733E3A" w:rsidRDefault="00EA1F23" w:rsidP="00720937">
            <w:pPr>
              <w:rPr>
                <w:rFonts w:ascii="Arial" w:hAnsi="Arial" w:cs="Arial"/>
                <w:color w:val="000000"/>
                <w:sz w:val="22"/>
                <w:szCs w:val="22"/>
                <w:lang w:val="en-GB"/>
              </w:rPr>
            </w:pPr>
            <w:r>
              <w:rPr>
                <w:rFonts w:ascii="Arial" w:hAnsi="Arial" w:cs="Arial"/>
                <w:color w:val="000000"/>
                <w:sz w:val="22"/>
                <w:szCs w:val="22"/>
                <w:lang w:val="en-GB"/>
              </w:rPr>
              <w:t>No figures available – audit only</w:t>
            </w:r>
          </w:p>
        </w:tc>
        <w:tc>
          <w:tcPr>
            <w:tcW w:w="484" w:type="pct"/>
          </w:tcPr>
          <w:p w:rsidR="00EA1F23" w:rsidRDefault="00EA1F23" w:rsidP="00720937">
            <w:pPr>
              <w:rPr>
                <w:rFonts w:ascii="Arial" w:hAnsi="Arial" w:cs="Arial"/>
                <w:color w:val="000000"/>
                <w:sz w:val="22"/>
                <w:szCs w:val="22"/>
                <w:lang w:val="en-GB"/>
              </w:rPr>
            </w:pPr>
            <w:r>
              <w:rPr>
                <w:rFonts w:ascii="Arial" w:hAnsi="Arial" w:cs="Arial"/>
                <w:color w:val="000000"/>
                <w:sz w:val="22"/>
                <w:szCs w:val="22"/>
                <w:lang w:val="en-GB"/>
              </w:rPr>
              <w:t>5</w:t>
            </w:r>
          </w:p>
        </w:tc>
        <w:tc>
          <w:tcPr>
            <w:tcW w:w="601" w:type="pct"/>
          </w:tcPr>
          <w:p w:rsidR="00EA1F23" w:rsidRDefault="00EA1F23" w:rsidP="00720937">
            <w:pPr>
              <w:rPr>
                <w:rFonts w:ascii="Arial" w:hAnsi="Arial" w:cs="Arial"/>
                <w:color w:val="000000"/>
                <w:sz w:val="22"/>
                <w:szCs w:val="22"/>
                <w:lang w:val="en-GB"/>
              </w:rPr>
            </w:pPr>
            <w:r>
              <w:rPr>
                <w:rFonts w:ascii="Arial" w:hAnsi="Arial" w:cs="Arial"/>
                <w:color w:val="000000"/>
                <w:sz w:val="22"/>
                <w:szCs w:val="22"/>
                <w:lang w:val="en-GB"/>
              </w:rPr>
              <w:t>2</w:t>
            </w:r>
          </w:p>
        </w:tc>
      </w:tr>
      <w:tr w:rsidR="005A6A44" w:rsidRPr="00733E3A" w:rsidTr="00961215">
        <w:tc>
          <w:tcPr>
            <w:tcW w:w="686" w:type="pct"/>
            <w:shd w:val="clear" w:color="auto" w:fill="auto"/>
            <w:vAlign w:val="center"/>
          </w:tcPr>
          <w:p w:rsidR="00EA1F23" w:rsidRPr="00733E3A" w:rsidRDefault="00EA1F23" w:rsidP="0092037E">
            <w:pPr>
              <w:jc w:val="center"/>
              <w:rPr>
                <w:rFonts w:ascii="Arial" w:hAnsi="Arial" w:cs="Arial"/>
                <w:color w:val="000000"/>
                <w:sz w:val="22"/>
                <w:szCs w:val="22"/>
                <w:lang w:val="en-GB"/>
              </w:rPr>
            </w:pPr>
            <w:r>
              <w:rPr>
                <w:rFonts w:ascii="Arial" w:hAnsi="Arial" w:cs="Arial"/>
                <w:color w:val="000000"/>
                <w:sz w:val="22"/>
                <w:szCs w:val="22"/>
                <w:lang w:val="en-GB"/>
              </w:rPr>
              <w:t>Statins</w:t>
            </w:r>
          </w:p>
        </w:tc>
        <w:tc>
          <w:tcPr>
            <w:tcW w:w="1023" w:type="pct"/>
            <w:shd w:val="clear" w:color="auto" w:fill="auto"/>
          </w:tcPr>
          <w:p w:rsidR="00EA1F23" w:rsidRDefault="00EA1F23" w:rsidP="005D2185">
            <w:pPr>
              <w:rPr>
                <w:rFonts w:ascii="Arial" w:hAnsi="Arial" w:cs="Arial"/>
                <w:color w:val="000000"/>
                <w:sz w:val="22"/>
                <w:szCs w:val="22"/>
                <w:lang w:val="en-GB"/>
              </w:rPr>
            </w:pPr>
            <w:proofErr w:type="spellStart"/>
            <w:r>
              <w:rPr>
                <w:rFonts w:ascii="Arial" w:hAnsi="Arial" w:cs="Arial"/>
                <w:color w:val="000000"/>
                <w:sz w:val="22"/>
                <w:szCs w:val="22"/>
                <w:lang w:val="en-GB"/>
              </w:rPr>
              <w:t>Rosuvastatin</w:t>
            </w:r>
            <w:proofErr w:type="spellEnd"/>
            <w:r>
              <w:rPr>
                <w:rFonts w:ascii="Arial" w:hAnsi="Arial" w:cs="Arial"/>
                <w:color w:val="000000"/>
                <w:sz w:val="22"/>
                <w:szCs w:val="22"/>
                <w:lang w:val="en-GB"/>
              </w:rPr>
              <w:t xml:space="preserve"> as % all statins</w:t>
            </w:r>
          </w:p>
          <w:p w:rsidR="00EA1F23" w:rsidRDefault="00EA1F23" w:rsidP="005D2185">
            <w:pPr>
              <w:rPr>
                <w:rFonts w:ascii="Arial" w:hAnsi="Arial" w:cs="Arial"/>
                <w:color w:val="000000"/>
                <w:sz w:val="22"/>
                <w:szCs w:val="22"/>
                <w:lang w:val="en-GB"/>
              </w:rPr>
            </w:pPr>
          </w:p>
          <w:p w:rsidR="00EA1F23" w:rsidRPr="00733E3A" w:rsidRDefault="00EA1F23" w:rsidP="005D2185">
            <w:pPr>
              <w:rPr>
                <w:rFonts w:ascii="Arial" w:hAnsi="Arial" w:cs="Arial"/>
                <w:color w:val="000000"/>
                <w:sz w:val="22"/>
                <w:szCs w:val="22"/>
                <w:lang w:val="en-GB"/>
              </w:rPr>
            </w:pPr>
          </w:p>
        </w:tc>
        <w:tc>
          <w:tcPr>
            <w:tcW w:w="650" w:type="pct"/>
            <w:gridSpan w:val="2"/>
          </w:tcPr>
          <w:p w:rsidR="00EA1F23" w:rsidRPr="00B966EF" w:rsidRDefault="00EA1F23" w:rsidP="00B966EF">
            <w:pPr>
              <w:rPr>
                <w:rFonts w:ascii="Arial" w:hAnsi="Arial" w:cs="Arial"/>
                <w:color w:val="000000"/>
                <w:sz w:val="22"/>
                <w:szCs w:val="22"/>
                <w:lang w:val="en-GB"/>
              </w:rPr>
            </w:pPr>
            <w:r>
              <w:rPr>
                <w:rFonts w:ascii="Arial" w:hAnsi="Arial" w:cs="Arial"/>
                <w:color w:val="000000"/>
                <w:sz w:val="22"/>
                <w:szCs w:val="22"/>
                <w:lang w:val="en-GB"/>
              </w:rPr>
              <w:t xml:space="preserve">Items of </w:t>
            </w:r>
            <w:proofErr w:type="spellStart"/>
            <w:r>
              <w:rPr>
                <w:rFonts w:ascii="Arial" w:hAnsi="Arial" w:cs="Arial"/>
                <w:color w:val="000000"/>
                <w:sz w:val="22"/>
                <w:szCs w:val="22"/>
                <w:lang w:val="en-GB"/>
              </w:rPr>
              <w:t>rosuvastatin</w:t>
            </w:r>
            <w:proofErr w:type="spellEnd"/>
            <w:r>
              <w:rPr>
                <w:rFonts w:ascii="Arial" w:hAnsi="Arial" w:cs="Arial"/>
                <w:color w:val="000000"/>
                <w:sz w:val="22"/>
                <w:szCs w:val="22"/>
                <w:lang w:val="en-GB"/>
              </w:rPr>
              <w:t xml:space="preserve"> as % all statin items</w:t>
            </w:r>
          </w:p>
        </w:tc>
        <w:tc>
          <w:tcPr>
            <w:tcW w:w="641" w:type="pct"/>
            <w:gridSpan w:val="2"/>
          </w:tcPr>
          <w:p w:rsidR="00EA1F23" w:rsidRPr="00733E3A" w:rsidRDefault="00EA1F23" w:rsidP="005D2185">
            <w:pPr>
              <w:rPr>
                <w:rFonts w:ascii="Arial" w:hAnsi="Arial" w:cs="Arial"/>
                <w:color w:val="000000"/>
                <w:sz w:val="22"/>
                <w:szCs w:val="22"/>
                <w:lang w:val="en-GB"/>
              </w:rPr>
            </w:pPr>
            <w:r>
              <w:rPr>
                <w:rFonts w:ascii="Arial" w:hAnsi="Arial" w:cs="Arial"/>
                <w:color w:val="000000"/>
                <w:sz w:val="22"/>
                <w:szCs w:val="22"/>
                <w:lang w:val="en-GB"/>
              </w:rPr>
              <w:t xml:space="preserve">If 80% of </w:t>
            </w:r>
            <w:proofErr w:type="spellStart"/>
            <w:r>
              <w:rPr>
                <w:rFonts w:ascii="Arial" w:hAnsi="Arial" w:cs="Arial"/>
                <w:color w:val="000000"/>
                <w:sz w:val="22"/>
                <w:szCs w:val="22"/>
                <w:lang w:val="en-GB"/>
              </w:rPr>
              <w:t>rosuvastatin</w:t>
            </w:r>
            <w:proofErr w:type="spellEnd"/>
            <w:r>
              <w:rPr>
                <w:rFonts w:ascii="Arial" w:hAnsi="Arial" w:cs="Arial"/>
                <w:color w:val="000000"/>
                <w:sz w:val="22"/>
                <w:szCs w:val="22"/>
                <w:lang w:val="en-GB"/>
              </w:rPr>
              <w:t xml:space="preserve"> switch to low cost statin</w:t>
            </w:r>
          </w:p>
        </w:tc>
        <w:tc>
          <w:tcPr>
            <w:tcW w:w="450" w:type="pct"/>
            <w:shd w:val="clear" w:color="auto" w:fill="auto"/>
          </w:tcPr>
          <w:p w:rsidR="00EA1F23" w:rsidRPr="00733E3A" w:rsidRDefault="00EA1F23" w:rsidP="005D2185">
            <w:pPr>
              <w:rPr>
                <w:rFonts w:ascii="Arial" w:hAnsi="Arial" w:cs="Arial"/>
                <w:color w:val="000000"/>
                <w:sz w:val="22"/>
                <w:szCs w:val="22"/>
                <w:lang w:val="en-GB"/>
              </w:rPr>
            </w:pPr>
          </w:p>
        </w:tc>
        <w:tc>
          <w:tcPr>
            <w:tcW w:w="465" w:type="pct"/>
            <w:shd w:val="clear" w:color="auto" w:fill="auto"/>
          </w:tcPr>
          <w:p w:rsidR="00EA1F23" w:rsidRPr="00733E3A" w:rsidRDefault="00EA1F23" w:rsidP="005D2185">
            <w:pPr>
              <w:rPr>
                <w:rFonts w:ascii="Arial" w:hAnsi="Arial" w:cs="Arial"/>
                <w:color w:val="000000"/>
                <w:sz w:val="22"/>
                <w:szCs w:val="22"/>
                <w:lang w:val="en-GB"/>
              </w:rPr>
            </w:pPr>
          </w:p>
        </w:tc>
        <w:tc>
          <w:tcPr>
            <w:tcW w:w="484" w:type="pct"/>
          </w:tcPr>
          <w:p w:rsidR="00EA1F23" w:rsidRPr="00733E3A" w:rsidRDefault="00EA1F23" w:rsidP="005D2185">
            <w:pPr>
              <w:rPr>
                <w:rFonts w:ascii="Arial" w:hAnsi="Arial" w:cs="Arial"/>
                <w:color w:val="000000"/>
                <w:sz w:val="22"/>
                <w:szCs w:val="22"/>
                <w:lang w:val="en-GB"/>
              </w:rPr>
            </w:pPr>
            <w:r>
              <w:rPr>
                <w:rFonts w:ascii="Arial" w:hAnsi="Arial" w:cs="Arial"/>
                <w:color w:val="000000"/>
                <w:sz w:val="22"/>
                <w:szCs w:val="22"/>
                <w:lang w:val="en-GB"/>
              </w:rPr>
              <w:t>1</w:t>
            </w:r>
          </w:p>
        </w:tc>
        <w:tc>
          <w:tcPr>
            <w:tcW w:w="601" w:type="pct"/>
          </w:tcPr>
          <w:p w:rsidR="00EA1F23" w:rsidRDefault="00EA1F23" w:rsidP="005D2185">
            <w:pPr>
              <w:rPr>
                <w:rFonts w:ascii="Arial" w:hAnsi="Arial" w:cs="Arial"/>
                <w:color w:val="000000"/>
                <w:sz w:val="22"/>
                <w:szCs w:val="22"/>
                <w:lang w:val="en-GB"/>
              </w:rPr>
            </w:pPr>
            <w:r>
              <w:rPr>
                <w:rFonts w:ascii="Arial" w:hAnsi="Arial" w:cs="Arial"/>
                <w:color w:val="000000"/>
                <w:sz w:val="22"/>
                <w:szCs w:val="22"/>
                <w:lang w:val="en-GB"/>
              </w:rPr>
              <w:t>1 and 2</w:t>
            </w:r>
          </w:p>
        </w:tc>
      </w:tr>
      <w:tr w:rsidR="005A6A44" w:rsidRPr="00733E3A" w:rsidTr="00961215">
        <w:trPr>
          <w:trHeight w:val="555"/>
        </w:trPr>
        <w:tc>
          <w:tcPr>
            <w:tcW w:w="686" w:type="pct"/>
            <w:vMerge w:val="restart"/>
            <w:shd w:val="clear" w:color="auto" w:fill="auto"/>
            <w:vAlign w:val="center"/>
          </w:tcPr>
          <w:p w:rsidR="00EA1F23" w:rsidRPr="00733E3A" w:rsidRDefault="00EA1F23" w:rsidP="0092037E">
            <w:pPr>
              <w:jc w:val="center"/>
              <w:rPr>
                <w:rFonts w:ascii="Arial" w:hAnsi="Arial" w:cs="Arial"/>
                <w:color w:val="000000"/>
                <w:sz w:val="22"/>
                <w:szCs w:val="22"/>
                <w:lang w:val="en-GB"/>
              </w:rPr>
            </w:pPr>
            <w:r w:rsidRPr="00733E3A">
              <w:rPr>
                <w:rFonts w:ascii="Arial" w:hAnsi="Arial" w:cs="Arial"/>
                <w:color w:val="000000"/>
                <w:sz w:val="22"/>
                <w:szCs w:val="22"/>
                <w:lang w:val="en-GB"/>
              </w:rPr>
              <w:t>Ezetimibe</w:t>
            </w:r>
          </w:p>
        </w:tc>
        <w:tc>
          <w:tcPr>
            <w:tcW w:w="1023" w:type="pct"/>
            <w:shd w:val="clear" w:color="auto" w:fill="auto"/>
          </w:tcPr>
          <w:p w:rsidR="00EA1F23" w:rsidRPr="00733E3A" w:rsidRDefault="00EA1F23" w:rsidP="00720937">
            <w:pPr>
              <w:pStyle w:val="Default"/>
              <w:rPr>
                <w:sz w:val="22"/>
                <w:szCs w:val="22"/>
              </w:rPr>
            </w:pPr>
            <w:r>
              <w:rPr>
                <w:sz w:val="22"/>
                <w:szCs w:val="22"/>
              </w:rPr>
              <w:t>NPC key therapeutic topic - continuing</w:t>
            </w:r>
          </w:p>
        </w:tc>
        <w:tc>
          <w:tcPr>
            <w:tcW w:w="653" w:type="pct"/>
            <w:gridSpan w:val="3"/>
          </w:tcPr>
          <w:p w:rsidR="00EA1F23" w:rsidRPr="00B966EF" w:rsidRDefault="00EA1F23" w:rsidP="00FA501A">
            <w:pPr>
              <w:rPr>
                <w:rFonts w:ascii="Arial" w:hAnsi="Arial" w:cs="Arial"/>
                <w:color w:val="000000"/>
                <w:sz w:val="22"/>
                <w:szCs w:val="22"/>
                <w:lang w:val="en-GB"/>
              </w:rPr>
            </w:pPr>
            <w:r>
              <w:rPr>
                <w:rFonts w:ascii="Arial" w:hAnsi="Arial" w:cs="Arial"/>
                <w:color w:val="000000"/>
                <w:sz w:val="22"/>
                <w:szCs w:val="22"/>
                <w:lang w:val="en-GB"/>
              </w:rPr>
              <w:t>No.</w:t>
            </w:r>
            <w:r w:rsidRPr="00122172">
              <w:rPr>
                <w:rFonts w:ascii="Arial" w:hAnsi="Arial" w:cs="Arial"/>
                <w:color w:val="000000"/>
                <w:sz w:val="22"/>
                <w:szCs w:val="22"/>
                <w:lang w:val="en-GB"/>
              </w:rPr>
              <w:t xml:space="preserve"> of prescription items for </w:t>
            </w:r>
            <w:r w:rsidRPr="00122172">
              <w:rPr>
                <w:rFonts w:ascii="Arial" w:hAnsi="Arial" w:cs="Arial"/>
                <w:color w:val="000000"/>
                <w:sz w:val="22"/>
                <w:szCs w:val="22"/>
                <w:lang w:val="en-GB"/>
              </w:rPr>
              <w:lastRenderedPageBreak/>
              <w:t xml:space="preserve">ezetimibe and ezetimibe/simvastatin combinations </w:t>
            </w:r>
            <w:proofErr w:type="gramStart"/>
            <w:r w:rsidRPr="00122172">
              <w:rPr>
                <w:rFonts w:ascii="Arial" w:hAnsi="Arial" w:cs="Arial"/>
                <w:color w:val="000000"/>
                <w:sz w:val="22"/>
                <w:szCs w:val="22"/>
                <w:lang w:val="en-GB"/>
              </w:rPr>
              <w:t xml:space="preserve">as  </w:t>
            </w:r>
            <w:r>
              <w:rPr>
                <w:rFonts w:ascii="Arial" w:hAnsi="Arial" w:cs="Arial"/>
                <w:color w:val="000000"/>
                <w:sz w:val="22"/>
                <w:szCs w:val="22"/>
                <w:lang w:val="en-GB"/>
              </w:rPr>
              <w:t>%</w:t>
            </w:r>
            <w:proofErr w:type="gramEnd"/>
            <w:r>
              <w:rPr>
                <w:rFonts w:ascii="Arial" w:hAnsi="Arial" w:cs="Arial"/>
                <w:color w:val="000000"/>
                <w:sz w:val="22"/>
                <w:szCs w:val="22"/>
                <w:lang w:val="en-GB"/>
              </w:rPr>
              <w:t xml:space="preserve"> </w:t>
            </w:r>
            <w:r w:rsidRPr="00122172">
              <w:rPr>
                <w:rFonts w:ascii="Arial" w:hAnsi="Arial" w:cs="Arial"/>
                <w:color w:val="000000"/>
                <w:sz w:val="22"/>
                <w:szCs w:val="22"/>
                <w:lang w:val="en-GB"/>
              </w:rPr>
              <w:t>total items for all statins and ezetimibe, including simvastatin</w:t>
            </w:r>
            <w:r>
              <w:rPr>
                <w:rFonts w:ascii="Arial" w:hAnsi="Arial" w:cs="Arial"/>
                <w:color w:val="000000"/>
                <w:sz w:val="22"/>
                <w:szCs w:val="22"/>
                <w:lang w:val="en-GB"/>
              </w:rPr>
              <w:t xml:space="preserve"> </w:t>
            </w:r>
            <w:r w:rsidRPr="00122172">
              <w:rPr>
                <w:rFonts w:ascii="Arial" w:hAnsi="Arial" w:cs="Arial"/>
                <w:color w:val="000000"/>
                <w:sz w:val="22"/>
                <w:szCs w:val="22"/>
                <w:lang w:val="en-GB"/>
              </w:rPr>
              <w:t>/</w:t>
            </w:r>
            <w:r>
              <w:rPr>
                <w:rFonts w:ascii="Arial" w:hAnsi="Arial" w:cs="Arial"/>
                <w:color w:val="000000"/>
                <w:sz w:val="22"/>
                <w:szCs w:val="22"/>
                <w:lang w:val="en-GB"/>
              </w:rPr>
              <w:t xml:space="preserve"> </w:t>
            </w:r>
            <w:r w:rsidRPr="00122172">
              <w:rPr>
                <w:rFonts w:ascii="Arial" w:hAnsi="Arial" w:cs="Arial"/>
                <w:color w:val="000000"/>
                <w:sz w:val="22"/>
                <w:szCs w:val="22"/>
                <w:lang w:val="en-GB"/>
              </w:rPr>
              <w:t>ezetimibe combination products.</w:t>
            </w:r>
          </w:p>
        </w:tc>
        <w:tc>
          <w:tcPr>
            <w:tcW w:w="638" w:type="pct"/>
          </w:tcPr>
          <w:p w:rsidR="00EA1F23" w:rsidRDefault="00EA1F23" w:rsidP="00056560">
            <w:pPr>
              <w:rPr>
                <w:rFonts w:ascii="Arial" w:hAnsi="Arial" w:cs="Arial"/>
                <w:color w:val="000000"/>
                <w:sz w:val="22"/>
                <w:szCs w:val="22"/>
                <w:lang w:val="en-GB"/>
              </w:rPr>
            </w:pPr>
            <w:r>
              <w:rPr>
                <w:rFonts w:ascii="Arial" w:hAnsi="Arial" w:cs="Arial"/>
                <w:color w:val="000000"/>
                <w:sz w:val="22"/>
                <w:szCs w:val="22"/>
                <w:lang w:val="en-GB"/>
              </w:rPr>
              <w:lastRenderedPageBreak/>
              <w:t>Reduce to below national average</w:t>
            </w:r>
          </w:p>
          <w:p w:rsidR="00EA1F23" w:rsidRPr="00733E3A" w:rsidRDefault="00EA1F23" w:rsidP="00000CCA">
            <w:pPr>
              <w:rPr>
                <w:rFonts w:ascii="Arial" w:hAnsi="Arial" w:cs="Arial"/>
                <w:color w:val="000000"/>
                <w:sz w:val="22"/>
                <w:szCs w:val="22"/>
                <w:lang w:val="en-GB"/>
              </w:rPr>
            </w:pPr>
          </w:p>
        </w:tc>
        <w:tc>
          <w:tcPr>
            <w:tcW w:w="915" w:type="pct"/>
            <w:gridSpan w:val="2"/>
            <w:shd w:val="clear" w:color="auto" w:fill="auto"/>
          </w:tcPr>
          <w:p w:rsidR="00EA1F23" w:rsidRPr="00733E3A" w:rsidRDefault="00EA1F23" w:rsidP="005D2185">
            <w:pPr>
              <w:rPr>
                <w:rFonts w:ascii="Arial" w:hAnsi="Arial" w:cs="Arial"/>
                <w:color w:val="000000"/>
                <w:sz w:val="22"/>
                <w:szCs w:val="22"/>
                <w:lang w:val="en-GB"/>
              </w:rPr>
            </w:pPr>
          </w:p>
        </w:tc>
        <w:tc>
          <w:tcPr>
            <w:tcW w:w="484" w:type="pct"/>
          </w:tcPr>
          <w:p w:rsidR="00EA1F23" w:rsidRPr="00733E3A" w:rsidRDefault="00EA1F23" w:rsidP="005D2185">
            <w:pPr>
              <w:rPr>
                <w:rFonts w:ascii="Arial" w:hAnsi="Arial" w:cs="Arial"/>
                <w:color w:val="000000"/>
                <w:sz w:val="22"/>
                <w:szCs w:val="22"/>
                <w:lang w:val="en-GB"/>
              </w:rPr>
            </w:pPr>
            <w:r>
              <w:rPr>
                <w:rFonts w:ascii="Arial" w:hAnsi="Arial" w:cs="Arial"/>
                <w:color w:val="000000"/>
                <w:sz w:val="22"/>
                <w:szCs w:val="22"/>
                <w:lang w:val="en-GB"/>
              </w:rPr>
              <w:t>1</w:t>
            </w:r>
          </w:p>
        </w:tc>
        <w:tc>
          <w:tcPr>
            <w:tcW w:w="601" w:type="pct"/>
          </w:tcPr>
          <w:p w:rsidR="00EA1F23" w:rsidRDefault="00EA1F23" w:rsidP="005D2185">
            <w:pPr>
              <w:rPr>
                <w:rFonts w:ascii="Arial" w:hAnsi="Arial" w:cs="Arial"/>
                <w:color w:val="000000"/>
                <w:sz w:val="22"/>
                <w:szCs w:val="22"/>
                <w:lang w:val="en-GB"/>
              </w:rPr>
            </w:pPr>
            <w:r>
              <w:rPr>
                <w:rFonts w:ascii="Arial" w:hAnsi="Arial" w:cs="Arial"/>
                <w:color w:val="000000"/>
                <w:sz w:val="22"/>
                <w:szCs w:val="22"/>
                <w:lang w:val="en-GB"/>
              </w:rPr>
              <w:t>1 and 2</w:t>
            </w:r>
          </w:p>
        </w:tc>
      </w:tr>
      <w:tr w:rsidR="005A6A44" w:rsidRPr="00733E3A" w:rsidTr="00961215">
        <w:trPr>
          <w:trHeight w:val="555"/>
        </w:trPr>
        <w:tc>
          <w:tcPr>
            <w:tcW w:w="686" w:type="pct"/>
            <w:vMerge/>
            <w:shd w:val="clear" w:color="auto" w:fill="auto"/>
            <w:vAlign w:val="center"/>
          </w:tcPr>
          <w:p w:rsidR="00EA1F23" w:rsidRPr="00733E3A" w:rsidRDefault="00EA1F23" w:rsidP="0092037E">
            <w:pPr>
              <w:jc w:val="center"/>
              <w:rPr>
                <w:rFonts w:ascii="Arial" w:hAnsi="Arial" w:cs="Arial"/>
                <w:color w:val="000000"/>
                <w:sz w:val="22"/>
                <w:szCs w:val="22"/>
                <w:lang w:val="en-GB"/>
              </w:rPr>
            </w:pPr>
          </w:p>
        </w:tc>
        <w:tc>
          <w:tcPr>
            <w:tcW w:w="1023" w:type="pct"/>
            <w:shd w:val="clear" w:color="auto" w:fill="auto"/>
          </w:tcPr>
          <w:p w:rsidR="00EA1F23" w:rsidRPr="00733E3A" w:rsidRDefault="00EA1F23" w:rsidP="00D626EA">
            <w:pPr>
              <w:rPr>
                <w:rFonts w:ascii="Arial" w:hAnsi="Arial" w:cs="Arial"/>
                <w:color w:val="000000"/>
                <w:sz w:val="22"/>
                <w:szCs w:val="22"/>
                <w:lang w:val="en-GB"/>
              </w:rPr>
            </w:pPr>
            <w:r>
              <w:rPr>
                <w:rFonts w:ascii="Arial" w:hAnsi="Arial" w:cs="Arial"/>
                <w:color w:val="000000"/>
                <w:sz w:val="22"/>
                <w:szCs w:val="22"/>
                <w:lang w:val="en-GB"/>
              </w:rPr>
              <w:t xml:space="preserve">Local </w:t>
            </w:r>
            <w:proofErr w:type="spellStart"/>
            <w:r>
              <w:rPr>
                <w:rFonts w:ascii="Arial" w:hAnsi="Arial" w:cs="Arial"/>
                <w:color w:val="000000"/>
                <w:sz w:val="22"/>
                <w:szCs w:val="22"/>
                <w:lang w:val="en-GB"/>
              </w:rPr>
              <w:t>workstream</w:t>
            </w:r>
            <w:proofErr w:type="spellEnd"/>
            <w:r>
              <w:rPr>
                <w:rFonts w:ascii="Arial" w:hAnsi="Arial" w:cs="Arial"/>
                <w:color w:val="000000"/>
                <w:sz w:val="22"/>
                <w:szCs w:val="22"/>
                <w:lang w:val="en-GB"/>
              </w:rPr>
              <w:t>.  Where ezetimibe is prescribed with simvastatin the individual drugs are prescribed in preference to the combination tablet.</w:t>
            </w:r>
          </w:p>
        </w:tc>
        <w:tc>
          <w:tcPr>
            <w:tcW w:w="653" w:type="pct"/>
            <w:gridSpan w:val="3"/>
          </w:tcPr>
          <w:p w:rsidR="00EA1F23" w:rsidRPr="00B966EF" w:rsidRDefault="00EA1F23" w:rsidP="00B966EF">
            <w:pPr>
              <w:rPr>
                <w:rFonts w:ascii="Arial" w:hAnsi="Arial" w:cs="Arial"/>
                <w:color w:val="000000"/>
                <w:sz w:val="22"/>
                <w:szCs w:val="22"/>
                <w:lang w:val="en-GB"/>
              </w:rPr>
            </w:pPr>
            <w:r>
              <w:rPr>
                <w:rFonts w:ascii="Arial" w:hAnsi="Arial" w:cs="Arial"/>
                <w:color w:val="000000"/>
                <w:sz w:val="22"/>
                <w:szCs w:val="22"/>
                <w:lang w:val="en-GB"/>
              </w:rPr>
              <w:t>No. of packs prescribed of combination tablet changed to equivalent no. of packs of individual tablets.</w:t>
            </w:r>
          </w:p>
        </w:tc>
        <w:tc>
          <w:tcPr>
            <w:tcW w:w="638" w:type="pct"/>
          </w:tcPr>
          <w:p w:rsidR="00EA1F23" w:rsidRPr="00733E3A" w:rsidRDefault="00EA1F23" w:rsidP="00C716B0">
            <w:pPr>
              <w:rPr>
                <w:rFonts w:ascii="Arial" w:hAnsi="Arial" w:cs="Arial"/>
                <w:color w:val="000000"/>
                <w:sz w:val="22"/>
                <w:szCs w:val="22"/>
                <w:lang w:val="en-GB"/>
              </w:rPr>
            </w:pPr>
            <w:r>
              <w:rPr>
                <w:rFonts w:ascii="Arial" w:hAnsi="Arial" w:cs="Arial"/>
                <w:color w:val="000000"/>
                <w:sz w:val="22"/>
                <w:szCs w:val="22"/>
                <w:lang w:val="en-GB"/>
              </w:rPr>
              <w:t xml:space="preserve">All </w:t>
            </w:r>
            <w:proofErr w:type="spellStart"/>
            <w:r>
              <w:rPr>
                <w:rFonts w:ascii="Arial" w:hAnsi="Arial" w:cs="Arial"/>
                <w:color w:val="000000"/>
                <w:sz w:val="22"/>
                <w:szCs w:val="22"/>
                <w:lang w:val="en-GB"/>
              </w:rPr>
              <w:t>Inegy</w:t>
            </w:r>
            <w:proofErr w:type="spellEnd"/>
            <w:r>
              <w:rPr>
                <w:rFonts w:ascii="Arial" w:hAnsi="Arial" w:cs="Arial"/>
                <w:color w:val="000000"/>
                <w:sz w:val="22"/>
                <w:szCs w:val="22"/>
                <w:lang w:val="en-GB"/>
              </w:rPr>
              <w:t xml:space="preserve"> prescribing reviewed</w:t>
            </w:r>
          </w:p>
        </w:tc>
        <w:tc>
          <w:tcPr>
            <w:tcW w:w="915" w:type="pct"/>
            <w:gridSpan w:val="2"/>
            <w:shd w:val="clear" w:color="auto" w:fill="auto"/>
          </w:tcPr>
          <w:p w:rsidR="00EA1F23" w:rsidRPr="00733E3A" w:rsidRDefault="00EA1F23" w:rsidP="00BE6CB1">
            <w:pPr>
              <w:rPr>
                <w:rFonts w:ascii="Arial" w:hAnsi="Arial" w:cs="Arial"/>
                <w:color w:val="000000"/>
                <w:sz w:val="22"/>
                <w:szCs w:val="22"/>
                <w:lang w:val="en-GB"/>
              </w:rPr>
            </w:pPr>
            <w:r>
              <w:rPr>
                <w:rFonts w:ascii="Arial" w:hAnsi="Arial" w:cs="Arial"/>
                <w:color w:val="000000"/>
                <w:sz w:val="22"/>
                <w:szCs w:val="22"/>
                <w:lang w:val="en-GB"/>
              </w:rPr>
              <w:t>Not possible to calculate savings due to low numbers &amp; variable duration of prescriptions</w:t>
            </w:r>
          </w:p>
        </w:tc>
        <w:tc>
          <w:tcPr>
            <w:tcW w:w="484" w:type="pct"/>
          </w:tcPr>
          <w:p w:rsidR="00EA1F23" w:rsidRDefault="00EA1F23" w:rsidP="00BE6CB1">
            <w:pPr>
              <w:rPr>
                <w:rFonts w:ascii="Arial" w:hAnsi="Arial" w:cs="Arial"/>
                <w:color w:val="000000"/>
                <w:sz w:val="22"/>
                <w:szCs w:val="22"/>
                <w:lang w:val="en-GB"/>
              </w:rPr>
            </w:pPr>
            <w:r>
              <w:rPr>
                <w:rFonts w:ascii="Arial" w:hAnsi="Arial" w:cs="Arial"/>
                <w:color w:val="000000"/>
                <w:sz w:val="22"/>
                <w:szCs w:val="22"/>
                <w:lang w:val="en-GB"/>
              </w:rPr>
              <w:t>1</w:t>
            </w:r>
          </w:p>
        </w:tc>
        <w:tc>
          <w:tcPr>
            <w:tcW w:w="601" w:type="pct"/>
          </w:tcPr>
          <w:p w:rsidR="00EA1F23" w:rsidRDefault="00EA1F23" w:rsidP="00BE6CB1">
            <w:pPr>
              <w:rPr>
                <w:rFonts w:ascii="Arial" w:hAnsi="Arial" w:cs="Arial"/>
                <w:color w:val="000000"/>
                <w:sz w:val="22"/>
                <w:szCs w:val="22"/>
                <w:lang w:val="en-GB"/>
              </w:rPr>
            </w:pPr>
            <w:r>
              <w:rPr>
                <w:rFonts w:ascii="Arial" w:hAnsi="Arial" w:cs="Arial"/>
                <w:color w:val="000000"/>
                <w:sz w:val="22"/>
                <w:szCs w:val="22"/>
                <w:lang w:val="en-GB"/>
              </w:rPr>
              <w:t>1 and 2</w:t>
            </w:r>
          </w:p>
        </w:tc>
      </w:tr>
      <w:tr w:rsidR="005A6A44" w:rsidRPr="00733E3A" w:rsidTr="00961215">
        <w:trPr>
          <w:trHeight w:val="555"/>
        </w:trPr>
        <w:tc>
          <w:tcPr>
            <w:tcW w:w="686" w:type="pct"/>
            <w:shd w:val="clear" w:color="auto" w:fill="auto"/>
            <w:vAlign w:val="center"/>
          </w:tcPr>
          <w:p w:rsidR="00EA1F23" w:rsidRPr="00733E3A" w:rsidRDefault="00EA1F23" w:rsidP="0092037E">
            <w:pPr>
              <w:jc w:val="center"/>
              <w:rPr>
                <w:rFonts w:ascii="Arial" w:hAnsi="Arial" w:cs="Arial"/>
                <w:color w:val="000000"/>
                <w:sz w:val="22"/>
                <w:szCs w:val="22"/>
                <w:lang w:val="en-GB"/>
              </w:rPr>
            </w:pPr>
            <w:r>
              <w:rPr>
                <w:rFonts w:ascii="Arial" w:hAnsi="Arial" w:cs="Arial"/>
                <w:color w:val="000000"/>
                <w:sz w:val="22"/>
                <w:szCs w:val="22"/>
                <w:lang w:val="en-GB"/>
              </w:rPr>
              <w:t xml:space="preserve">High Dose Inhaled </w:t>
            </w:r>
            <w:r w:rsidRPr="00733E3A">
              <w:rPr>
                <w:rFonts w:ascii="Arial" w:hAnsi="Arial" w:cs="Arial"/>
                <w:color w:val="000000"/>
                <w:sz w:val="22"/>
                <w:szCs w:val="22"/>
                <w:lang w:val="en-GB"/>
              </w:rPr>
              <w:t>Corticosteroids</w:t>
            </w:r>
            <w:r>
              <w:rPr>
                <w:rFonts w:ascii="Arial" w:hAnsi="Arial" w:cs="Arial"/>
                <w:color w:val="000000"/>
                <w:sz w:val="22"/>
                <w:szCs w:val="22"/>
                <w:lang w:val="en-GB"/>
              </w:rPr>
              <w:t xml:space="preserve"> </w:t>
            </w:r>
            <w:r w:rsidRPr="00AB67C9">
              <w:rPr>
                <w:rFonts w:ascii="Arial" w:hAnsi="Arial" w:cs="Arial"/>
                <w:sz w:val="22"/>
                <w:szCs w:val="22"/>
              </w:rPr>
              <w:t>(ICS)</w:t>
            </w:r>
          </w:p>
        </w:tc>
        <w:tc>
          <w:tcPr>
            <w:tcW w:w="1023" w:type="pct"/>
            <w:shd w:val="clear" w:color="auto" w:fill="auto"/>
          </w:tcPr>
          <w:p w:rsidR="00EA1F23" w:rsidRPr="00733E3A" w:rsidRDefault="00EA1F23" w:rsidP="00AD49D0">
            <w:pPr>
              <w:rPr>
                <w:rFonts w:ascii="Arial" w:hAnsi="Arial" w:cs="Arial"/>
                <w:color w:val="000000"/>
                <w:sz w:val="22"/>
                <w:szCs w:val="22"/>
                <w:lang w:val="en-GB"/>
              </w:rPr>
            </w:pPr>
            <w:r w:rsidRPr="00AB67C9">
              <w:rPr>
                <w:rFonts w:ascii="Arial" w:hAnsi="Arial" w:cs="Arial"/>
                <w:color w:val="000000"/>
                <w:sz w:val="22"/>
                <w:szCs w:val="22"/>
                <w:lang w:val="en-GB"/>
              </w:rPr>
              <w:t>Seretide accuhaler is licensed for use in COPD</w:t>
            </w:r>
            <w:r>
              <w:rPr>
                <w:rFonts w:ascii="Arial" w:hAnsi="Arial" w:cs="Arial"/>
                <w:color w:val="000000"/>
                <w:sz w:val="22"/>
                <w:szCs w:val="22"/>
                <w:lang w:val="en-GB"/>
              </w:rPr>
              <w:t>.</w:t>
            </w:r>
          </w:p>
        </w:tc>
        <w:tc>
          <w:tcPr>
            <w:tcW w:w="653" w:type="pct"/>
            <w:gridSpan w:val="3"/>
          </w:tcPr>
          <w:p w:rsidR="00EA1F23" w:rsidRPr="00B966EF" w:rsidRDefault="00EA1F23" w:rsidP="00720937">
            <w:pPr>
              <w:rPr>
                <w:rFonts w:ascii="Arial" w:hAnsi="Arial" w:cs="Arial"/>
                <w:color w:val="000000"/>
                <w:sz w:val="22"/>
                <w:szCs w:val="22"/>
              </w:rPr>
            </w:pPr>
            <w:r>
              <w:rPr>
                <w:rFonts w:ascii="Arial" w:hAnsi="Arial" w:cs="Arial"/>
                <w:color w:val="000000"/>
                <w:sz w:val="22"/>
                <w:szCs w:val="22"/>
              </w:rPr>
              <w:t>Audit of Seretide evohaler in COPD</w:t>
            </w:r>
          </w:p>
        </w:tc>
        <w:tc>
          <w:tcPr>
            <w:tcW w:w="638" w:type="pct"/>
          </w:tcPr>
          <w:p w:rsidR="00EA1F23" w:rsidRPr="00733E3A" w:rsidRDefault="005A6A44" w:rsidP="005D2185">
            <w:pPr>
              <w:rPr>
                <w:rFonts w:ascii="Arial" w:hAnsi="Arial" w:cs="Arial"/>
                <w:color w:val="000000"/>
                <w:sz w:val="22"/>
                <w:szCs w:val="22"/>
              </w:rPr>
            </w:pPr>
            <w:r>
              <w:rPr>
                <w:rFonts w:ascii="Arial" w:hAnsi="Arial" w:cs="Arial"/>
                <w:color w:val="000000"/>
                <w:sz w:val="22"/>
                <w:szCs w:val="22"/>
              </w:rPr>
              <w:t>All S</w:t>
            </w:r>
            <w:r w:rsidR="00EA1F23">
              <w:rPr>
                <w:rFonts w:ascii="Arial" w:hAnsi="Arial" w:cs="Arial"/>
                <w:color w:val="000000"/>
                <w:sz w:val="22"/>
                <w:szCs w:val="22"/>
              </w:rPr>
              <w:t xml:space="preserve">eretide </w:t>
            </w:r>
            <w:proofErr w:type="spellStart"/>
            <w:r w:rsidR="00EA1F23">
              <w:rPr>
                <w:rFonts w:ascii="Arial" w:hAnsi="Arial" w:cs="Arial"/>
                <w:color w:val="000000"/>
                <w:sz w:val="22"/>
                <w:szCs w:val="22"/>
              </w:rPr>
              <w:t>evohalers</w:t>
            </w:r>
            <w:proofErr w:type="spellEnd"/>
            <w:r w:rsidR="00EA1F23">
              <w:rPr>
                <w:rFonts w:ascii="Arial" w:hAnsi="Arial" w:cs="Arial"/>
                <w:color w:val="000000"/>
                <w:sz w:val="22"/>
                <w:szCs w:val="22"/>
              </w:rPr>
              <w:t xml:space="preserve"> for patients with COPD reviewed</w:t>
            </w:r>
          </w:p>
        </w:tc>
        <w:tc>
          <w:tcPr>
            <w:tcW w:w="915" w:type="pct"/>
            <w:gridSpan w:val="2"/>
            <w:shd w:val="clear" w:color="auto" w:fill="auto"/>
          </w:tcPr>
          <w:p w:rsidR="00EA1F23" w:rsidRPr="00733E3A" w:rsidRDefault="00EA1F23" w:rsidP="005D2185">
            <w:pPr>
              <w:rPr>
                <w:rFonts w:ascii="Arial" w:hAnsi="Arial" w:cs="Arial"/>
                <w:color w:val="000000"/>
                <w:sz w:val="22"/>
                <w:szCs w:val="22"/>
                <w:lang w:val="en-GB"/>
              </w:rPr>
            </w:pPr>
            <w:r>
              <w:rPr>
                <w:rFonts w:ascii="Arial" w:hAnsi="Arial" w:cs="Arial"/>
                <w:color w:val="000000"/>
                <w:sz w:val="22"/>
                <w:szCs w:val="22"/>
                <w:lang w:val="en-GB"/>
              </w:rPr>
              <w:t>Not possible to calculate savings – work is primarily quality focussed on licensed indications</w:t>
            </w:r>
          </w:p>
        </w:tc>
        <w:tc>
          <w:tcPr>
            <w:tcW w:w="484" w:type="pct"/>
          </w:tcPr>
          <w:p w:rsidR="00EA1F23" w:rsidRDefault="00EA1F23" w:rsidP="005D2185">
            <w:pPr>
              <w:rPr>
                <w:rFonts w:ascii="Arial" w:hAnsi="Arial" w:cs="Arial"/>
                <w:color w:val="000000"/>
                <w:sz w:val="22"/>
                <w:szCs w:val="22"/>
                <w:lang w:val="en-GB"/>
              </w:rPr>
            </w:pPr>
            <w:r>
              <w:rPr>
                <w:rFonts w:ascii="Arial" w:hAnsi="Arial" w:cs="Arial"/>
                <w:color w:val="000000"/>
                <w:sz w:val="22"/>
                <w:szCs w:val="22"/>
                <w:lang w:val="en-GB"/>
              </w:rPr>
              <w:t>2</w:t>
            </w:r>
          </w:p>
        </w:tc>
        <w:tc>
          <w:tcPr>
            <w:tcW w:w="601" w:type="pct"/>
          </w:tcPr>
          <w:p w:rsidR="00EA1F23" w:rsidRDefault="00EA1F23" w:rsidP="005D2185">
            <w:pPr>
              <w:rPr>
                <w:rFonts w:ascii="Arial" w:hAnsi="Arial" w:cs="Arial"/>
                <w:color w:val="000000"/>
                <w:sz w:val="22"/>
                <w:szCs w:val="22"/>
                <w:lang w:val="en-GB"/>
              </w:rPr>
            </w:pPr>
            <w:r>
              <w:rPr>
                <w:rFonts w:ascii="Arial" w:hAnsi="Arial" w:cs="Arial"/>
                <w:color w:val="000000"/>
                <w:sz w:val="22"/>
                <w:szCs w:val="22"/>
                <w:lang w:val="en-GB"/>
              </w:rPr>
              <w:t>1 and 2</w:t>
            </w:r>
          </w:p>
        </w:tc>
      </w:tr>
      <w:tr w:rsidR="005A6A44" w:rsidRPr="00733E3A" w:rsidTr="00961215">
        <w:tc>
          <w:tcPr>
            <w:tcW w:w="686" w:type="pct"/>
            <w:shd w:val="clear" w:color="auto" w:fill="auto"/>
            <w:vAlign w:val="center"/>
          </w:tcPr>
          <w:p w:rsidR="00EA1F23" w:rsidRPr="00733E3A" w:rsidRDefault="00EA1F23" w:rsidP="0092037E">
            <w:pPr>
              <w:jc w:val="center"/>
              <w:rPr>
                <w:rFonts w:ascii="Arial" w:hAnsi="Arial" w:cs="Arial"/>
                <w:color w:val="000000"/>
                <w:sz w:val="22"/>
                <w:szCs w:val="22"/>
                <w:lang w:val="en-GB"/>
              </w:rPr>
            </w:pPr>
            <w:r>
              <w:rPr>
                <w:rFonts w:ascii="Arial" w:hAnsi="Arial" w:cs="Arial"/>
                <w:color w:val="000000"/>
                <w:sz w:val="22"/>
                <w:szCs w:val="22"/>
                <w:lang w:val="en-GB"/>
              </w:rPr>
              <w:t>Hypnotics (now including Z hypnotics)</w:t>
            </w:r>
          </w:p>
        </w:tc>
        <w:tc>
          <w:tcPr>
            <w:tcW w:w="1023" w:type="pct"/>
            <w:shd w:val="clear" w:color="auto" w:fill="auto"/>
          </w:tcPr>
          <w:p w:rsidR="00EA1F23" w:rsidRDefault="00EA1F23" w:rsidP="00892BFD">
            <w:pPr>
              <w:pStyle w:val="Default"/>
            </w:pPr>
            <w:r>
              <w:rPr>
                <w:sz w:val="22"/>
                <w:szCs w:val="22"/>
              </w:rPr>
              <w:t xml:space="preserve">NPC key therapeutic topic. </w:t>
            </w:r>
          </w:p>
          <w:p w:rsidR="00EA1F23" w:rsidRPr="00733E3A" w:rsidRDefault="00EA1F23" w:rsidP="005D2185">
            <w:pPr>
              <w:rPr>
                <w:rFonts w:ascii="Arial" w:hAnsi="Arial" w:cs="Arial"/>
                <w:color w:val="000000"/>
                <w:sz w:val="22"/>
                <w:szCs w:val="22"/>
                <w:lang w:val="en-GB"/>
              </w:rPr>
            </w:pPr>
            <w:r w:rsidRPr="00892BFD">
              <w:rPr>
                <w:rFonts w:ascii="Arial" w:hAnsi="Arial" w:cs="Arial"/>
                <w:color w:val="000000"/>
                <w:sz w:val="22"/>
                <w:szCs w:val="22"/>
                <w:lang w:val="en-GB"/>
              </w:rPr>
              <w:t>Review and, where appropriate, revise prescribing of hypnotics to ensure that it is in line with national guidance</w:t>
            </w:r>
            <w:r>
              <w:rPr>
                <w:rFonts w:ascii="Arial" w:hAnsi="Arial" w:cs="Arial"/>
                <w:color w:val="000000"/>
                <w:sz w:val="22"/>
                <w:szCs w:val="22"/>
                <w:lang w:val="en-GB"/>
              </w:rPr>
              <w:t>.</w:t>
            </w:r>
          </w:p>
        </w:tc>
        <w:tc>
          <w:tcPr>
            <w:tcW w:w="653" w:type="pct"/>
            <w:gridSpan w:val="3"/>
          </w:tcPr>
          <w:p w:rsidR="00EA1F23" w:rsidRPr="00720937" w:rsidRDefault="00EA1F23" w:rsidP="00B966EF">
            <w:pPr>
              <w:rPr>
                <w:rFonts w:ascii="Arial" w:hAnsi="Arial" w:cs="Arial"/>
                <w:color w:val="FF0000"/>
                <w:sz w:val="22"/>
                <w:szCs w:val="22"/>
              </w:rPr>
            </w:pPr>
          </w:p>
        </w:tc>
        <w:tc>
          <w:tcPr>
            <w:tcW w:w="638" w:type="pct"/>
          </w:tcPr>
          <w:p w:rsidR="00EA1F23" w:rsidRDefault="00EA1F23" w:rsidP="00A06C3C">
            <w:pPr>
              <w:rPr>
                <w:rFonts w:ascii="Arial" w:hAnsi="Arial" w:cs="Arial"/>
                <w:color w:val="000000"/>
                <w:sz w:val="22"/>
                <w:szCs w:val="22"/>
                <w:lang w:val="en-GB"/>
              </w:rPr>
            </w:pPr>
            <w:r>
              <w:rPr>
                <w:rFonts w:ascii="Arial" w:hAnsi="Arial" w:cs="Arial"/>
                <w:color w:val="000000"/>
                <w:sz w:val="22"/>
                <w:szCs w:val="22"/>
                <w:lang w:val="en-GB"/>
              </w:rPr>
              <w:t xml:space="preserve">Reduce to below national average.  </w:t>
            </w:r>
          </w:p>
          <w:p w:rsidR="00EA1F23" w:rsidRPr="00733E3A" w:rsidRDefault="00EA1F23" w:rsidP="00000CCA">
            <w:pPr>
              <w:rPr>
                <w:rFonts w:ascii="Arial" w:hAnsi="Arial" w:cs="Arial"/>
                <w:color w:val="000000"/>
                <w:sz w:val="22"/>
                <w:szCs w:val="22"/>
              </w:rPr>
            </w:pPr>
          </w:p>
        </w:tc>
        <w:tc>
          <w:tcPr>
            <w:tcW w:w="915" w:type="pct"/>
            <w:gridSpan w:val="2"/>
            <w:shd w:val="clear" w:color="auto" w:fill="auto"/>
          </w:tcPr>
          <w:p w:rsidR="00EA1F23" w:rsidRPr="00A06C3C" w:rsidRDefault="00EA1F23">
            <w:pPr>
              <w:rPr>
                <w:rFonts w:ascii="Arial" w:hAnsi="Arial" w:cs="Arial"/>
                <w:sz w:val="22"/>
                <w:szCs w:val="22"/>
              </w:rPr>
            </w:pPr>
            <w:r w:rsidRPr="00A06C3C">
              <w:rPr>
                <w:rFonts w:ascii="Arial" w:hAnsi="Arial" w:cs="Arial"/>
                <w:sz w:val="22"/>
                <w:szCs w:val="22"/>
              </w:rPr>
              <w:t>Unable to quantify savings</w:t>
            </w:r>
          </w:p>
        </w:tc>
        <w:tc>
          <w:tcPr>
            <w:tcW w:w="484" w:type="pct"/>
          </w:tcPr>
          <w:p w:rsidR="00EA1F23" w:rsidRPr="00A06C3C" w:rsidRDefault="00EA1F23">
            <w:pPr>
              <w:rPr>
                <w:rFonts w:ascii="Arial" w:hAnsi="Arial" w:cs="Arial"/>
                <w:sz w:val="22"/>
                <w:szCs w:val="22"/>
              </w:rPr>
            </w:pPr>
            <w:r>
              <w:rPr>
                <w:rFonts w:ascii="Arial" w:hAnsi="Arial" w:cs="Arial"/>
                <w:sz w:val="22"/>
                <w:szCs w:val="22"/>
              </w:rPr>
              <w:t>1 and 5</w:t>
            </w:r>
          </w:p>
        </w:tc>
        <w:tc>
          <w:tcPr>
            <w:tcW w:w="601" w:type="pct"/>
          </w:tcPr>
          <w:p w:rsidR="00EA1F23" w:rsidRDefault="003157EE">
            <w:pPr>
              <w:rPr>
                <w:rFonts w:ascii="Arial" w:hAnsi="Arial" w:cs="Arial"/>
                <w:sz w:val="22"/>
                <w:szCs w:val="22"/>
              </w:rPr>
            </w:pPr>
            <w:r>
              <w:rPr>
                <w:rFonts w:ascii="Arial" w:hAnsi="Arial" w:cs="Arial"/>
                <w:sz w:val="22"/>
                <w:szCs w:val="22"/>
              </w:rPr>
              <w:t>2</w:t>
            </w:r>
          </w:p>
        </w:tc>
      </w:tr>
      <w:tr w:rsidR="005A6A44" w:rsidRPr="00733E3A" w:rsidTr="00961215">
        <w:tc>
          <w:tcPr>
            <w:tcW w:w="686" w:type="pct"/>
            <w:shd w:val="clear" w:color="auto" w:fill="auto"/>
            <w:vAlign w:val="center"/>
          </w:tcPr>
          <w:p w:rsidR="00EA1F23" w:rsidRPr="00733E3A" w:rsidRDefault="00EA1F23" w:rsidP="0092037E">
            <w:pPr>
              <w:jc w:val="center"/>
              <w:rPr>
                <w:rFonts w:ascii="Arial" w:hAnsi="Arial" w:cs="Arial"/>
                <w:color w:val="000000"/>
                <w:sz w:val="22"/>
                <w:szCs w:val="22"/>
                <w:lang w:val="en-GB"/>
              </w:rPr>
            </w:pPr>
            <w:r w:rsidRPr="005B7F9A">
              <w:rPr>
                <w:rFonts w:ascii="Arial" w:hAnsi="Arial" w:cs="Arial"/>
                <w:color w:val="000000"/>
                <w:sz w:val="22"/>
                <w:szCs w:val="22"/>
                <w:lang w:val="en-GB"/>
              </w:rPr>
              <w:lastRenderedPageBreak/>
              <w:t>Low dose antipsychotics in people with dementia</w:t>
            </w:r>
          </w:p>
        </w:tc>
        <w:tc>
          <w:tcPr>
            <w:tcW w:w="1023" w:type="pct"/>
            <w:shd w:val="clear" w:color="auto" w:fill="auto"/>
          </w:tcPr>
          <w:p w:rsidR="00EA1F23" w:rsidRPr="00733E3A" w:rsidRDefault="00EA1F23" w:rsidP="005D2185">
            <w:pPr>
              <w:rPr>
                <w:rFonts w:ascii="Arial" w:hAnsi="Arial" w:cs="Arial"/>
                <w:color w:val="000000"/>
                <w:sz w:val="22"/>
                <w:szCs w:val="22"/>
                <w:lang w:val="en-GB"/>
              </w:rPr>
            </w:pPr>
            <w:r w:rsidRPr="005B7F9A">
              <w:rPr>
                <w:rFonts w:ascii="Arial" w:hAnsi="Arial" w:cs="Arial"/>
                <w:color w:val="000000"/>
                <w:sz w:val="22"/>
                <w:szCs w:val="22"/>
                <w:lang w:val="en-GB"/>
              </w:rPr>
              <w:t>Review and, where appropriate, revise prescribing of low dose antipsychotics in people with dementia, in accordance with NICE/SCIE guidance and the NICE Quality Standard.</w:t>
            </w:r>
          </w:p>
        </w:tc>
        <w:tc>
          <w:tcPr>
            <w:tcW w:w="653" w:type="pct"/>
            <w:gridSpan w:val="3"/>
          </w:tcPr>
          <w:p w:rsidR="00EA1F23" w:rsidRPr="00B966EF" w:rsidRDefault="00EA1F23" w:rsidP="00B966EF">
            <w:pPr>
              <w:rPr>
                <w:rFonts w:ascii="Arial" w:hAnsi="Arial" w:cs="Arial"/>
                <w:color w:val="000000"/>
                <w:sz w:val="22"/>
                <w:szCs w:val="22"/>
              </w:rPr>
            </w:pPr>
            <w:r>
              <w:rPr>
                <w:rFonts w:ascii="Arial" w:hAnsi="Arial" w:cs="Arial"/>
                <w:color w:val="000000"/>
                <w:sz w:val="22"/>
                <w:szCs w:val="22"/>
              </w:rPr>
              <w:t>Dementia audit</w:t>
            </w:r>
          </w:p>
        </w:tc>
        <w:tc>
          <w:tcPr>
            <w:tcW w:w="638" w:type="pct"/>
          </w:tcPr>
          <w:p w:rsidR="00EA1F23" w:rsidRPr="00733E3A" w:rsidRDefault="00EA1F23" w:rsidP="00556197">
            <w:pPr>
              <w:rPr>
                <w:rFonts w:ascii="Arial" w:hAnsi="Arial" w:cs="Arial"/>
                <w:color w:val="000000"/>
                <w:sz w:val="22"/>
                <w:szCs w:val="22"/>
              </w:rPr>
            </w:pPr>
            <w:r>
              <w:rPr>
                <w:rFonts w:ascii="Arial" w:hAnsi="Arial" w:cs="Arial"/>
                <w:color w:val="000000"/>
                <w:sz w:val="22"/>
                <w:szCs w:val="22"/>
              </w:rPr>
              <w:t>Review all patients with dementia prescribed an anti-psychotic</w:t>
            </w:r>
          </w:p>
        </w:tc>
        <w:tc>
          <w:tcPr>
            <w:tcW w:w="915" w:type="pct"/>
            <w:gridSpan w:val="2"/>
            <w:shd w:val="clear" w:color="auto" w:fill="auto"/>
          </w:tcPr>
          <w:p w:rsidR="00EA1F23" w:rsidRPr="00733E3A" w:rsidRDefault="00EA1F23" w:rsidP="005D2185">
            <w:pPr>
              <w:rPr>
                <w:rFonts w:ascii="Arial" w:hAnsi="Arial" w:cs="Arial"/>
                <w:color w:val="000000"/>
                <w:sz w:val="22"/>
                <w:szCs w:val="22"/>
                <w:lang w:val="en-GB"/>
              </w:rPr>
            </w:pPr>
            <w:r>
              <w:rPr>
                <w:rFonts w:ascii="Arial" w:hAnsi="Arial" w:cs="Arial"/>
                <w:color w:val="000000"/>
                <w:sz w:val="22"/>
                <w:szCs w:val="22"/>
                <w:lang w:val="en-GB"/>
              </w:rPr>
              <w:t>Unable to quantify savings – quality / patient safety focussed</w:t>
            </w:r>
          </w:p>
        </w:tc>
        <w:tc>
          <w:tcPr>
            <w:tcW w:w="484" w:type="pct"/>
          </w:tcPr>
          <w:p w:rsidR="00EA1F23" w:rsidRDefault="00EA1F23" w:rsidP="005D2185">
            <w:pPr>
              <w:rPr>
                <w:rFonts w:ascii="Arial" w:hAnsi="Arial" w:cs="Arial"/>
                <w:color w:val="000000"/>
                <w:sz w:val="22"/>
                <w:szCs w:val="22"/>
                <w:lang w:val="en-GB"/>
              </w:rPr>
            </w:pPr>
            <w:r>
              <w:rPr>
                <w:rFonts w:ascii="Arial" w:hAnsi="Arial" w:cs="Arial"/>
                <w:color w:val="000000"/>
                <w:sz w:val="22"/>
                <w:szCs w:val="22"/>
                <w:lang w:val="en-GB"/>
              </w:rPr>
              <w:t>4 and 5</w:t>
            </w:r>
          </w:p>
        </w:tc>
        <w:tc>
          <w:tcPr>
            <w:tcW w:w="601" w:type="pct"/>
          </w:tcPr>
          <w:p w:rsidR="00EA1F23" w:rsidRDefault="003157EE" w:rsidP="005D2185">
            <w:pPr>
              <w:rPr>
                <w:rFonts w:ascii="Arial" w:hAnsi="Arial" w:cs="Arial"/>
                <w:color w:val="000000"/>
                <w:sz w:val="22"/>
                <w:szCs w:val="22"/>
                <w:lang w:val="en-GB"/>
              </w:rPr>
            </w:pPr>
            <w:r>
              <w:rPr>
                <w:rFonts w:ascii="Arial" w:hAnsi="Arial" w:cs="Arial"/>
                <w:color w:val="000000"/>
                <w:sz w:val="22"/>
                <w:szCs w:val="22"/>
                <w:lang w:val="en-GB"/>
              </w:rPr>
              <w:t>2</w:t>
            </w:r>
          </w:p>
        </w:tc>
      </w:tr>
      <w:tr w:rsidR="005A6A44" w:rsidRPr="00733E3A" w:rsidTr="00961215">
        <w:trPr>
          <w:trHeight w:val="1012"/>
        </w:trPr>
        <w:tc>
          <w:tcPr>
            <w:tcW w:w="686" w:type="pct"/>
            <w:vMerge w:val="restart"/>
            <w:shd w:val="clear" w:color="auto" w:fill="auto"/>
            <w:vAlign w:val="center"/>
          </w:tcPr>
          <w:p w:rsidR="00310BFC" w:rsidRPr="00AD49D0" w:rsidRDefault="00310BFC" w:rsidP="0092037E">
            <w:pPr>
              <w:jc w:val="center"/>
              <w:rPr>
                <w:rFonts w:ascii="Arial" w:hAnsi="Arial" w:cs="Arial"/>
                <w:color w:val="000000"/>
                <w:sz w:val="22"/>
                <w:szCs w:val="22"/>
                <w:highlight w:val="yellow"/>
                <w:lang w:val="en-GB"/>
              </w:rPr>
            </w:pPr>
            <w:r w:rsidRPr="00310BFC">
              <w:rPr>
                <w:rFonts w:ascii="Arial" w:hAnsi="Arial" w:cs="Arial"/>
                <w:color w:val="000000"/>
                <w:sz w:val="22"/>
                <w:szCs w:val="22"/>
                <w:lang w:val="en-GB"/>
              </w:rPr>
              <w:t>Anti-depressants</w:t>
            </w:r>
          </w:p>
        </w:tc>
        <w:tc>
          <w:tcPr>
            <w:tcW w:w="1023" w:type="pct"/>
            <w:shd w:val="clear" w:color="auto" w:fill="auto"/>
          </w:tcPr>
          <w:p w:rsidR="00310BFC" w:rsidRPr="00AD49D0" w:rsidRDefault="00310BFC" w:rsidP="005D2185">
            <w:pPr>
              <w:rPr>
                <w:rFonts w:ascii="Arial" w:hAnsi="Arial" w:cs="Arial"/>
                <w:color w:val="000000"/>
                <w:sz w:val="22"/>
                <w:szCs w:val="22"/>
                <w:highlight w:val="yellow"/>
                <w:lang w:val="en-GB"/>
              </w:rPr>
            </w:pPr>
            <w:r w:rsidRPr="00310BFC">
              <w:rPr>
                <w:rFonts w:ascii="Arial" w:hAnsi="Arial" w:cs="Arial"/>
                <w:color w:val="000000"/>
                <w:sz w:val="22"/>
                <w:szCs w:val="22"/>
                <w:lang w:val="en-GB"/>
              </w:rPr>
              <w:t xml:space="preserve">Local </w:t>
            </w:r>
            <w:proofErr w:type="spellStart"/>
            <w:r w:rsidRPr="00310BFC">
              <w:rPr>
                <w:rFonts w:ascii="Arial" w:hAnsi="Arial" w:cs="Arial"/>
                <w:color w:val="000000"/>
                <w:sz w:val="22"/>
                <w:szCs w:val="22"/>
                <w:lang w:val="en-GB"/>
              </w:rPr>
              <w:t>workstream</w:t>
            </w:r>
            <w:proofErr w:type="spellEnd"/>
            <w:r w:rsidRPr="00310BFC">
              <w:rPr>
                <w:rFonts w:ascii="Arial" w:hAnsi="Arial" w:cs="Arial"/>
                <w:color w:val="000000"/>
                <w:sz w:val="22"/>
                <w:szCs w:val="22"/>
                <w:lang w:val="en-GB"/>
              </w:rPr>
              <w:t>. Newly initiated escitalopram, for either depression or anxiety, should only be prescribed in line with Pan Mersey recommendations (as a third line option on the recommendation of a mental health specialist.)</w:t>
            </w:r>
          </w:p>
        </w:tc>
        <w:tc>
          <w:tcPr>
            <w:tcW w:w="653" w:type="pct"/>
            <w:gridSpan w:val="3"/>
          </w:tcPr>
          <w:p w:rsidR="00310BFC" w:rsidRPr="00AD49D0" w:rsidRDefault="00310BFC" w:rsidP="00785FBA">
            <w:pPr>
              <w:rPr>
                <w:rFonts w:ascii="Arial" w:hAnsi="Arial" w:cs="Arial"/>
                <w:color w:val="000000"/>
                <w:sz w:val="22"/>
                <w:szCs w:val="22"/>
                <w:highlight w:val="yellow"/>
              </w:rPr>
            </w:pPr>
            <w:r w:rsidRPr="00310BFC">
              <w:rPr>
                <w:rFonts w:ascii="Arial" w:hAnsi="Arial" w:cs="Arial"/>
                <w:color w:val="000000"/>
                <w:sz w:val="22"/>
                <w:szCs w:val="22"/>
              </w:rPr>
              <w:t>Audit of patients newly initiated on escitalopram.</w:t>
            </w:r>
          </w:p>
        </w:tc>
        <w:tc>
          <w:tcPr>
            <w:tcW w:w="638" w:type="pct"/>
          </w:tcPr>
          <w:p w:rsidR="00310BFC" w:rsidRPr="00AD49D0" w:rsidRDefault="00310BFC" w:rsidP="0091637F">
            <w:pPr>
              <w:rPr>
                <w:rFonts w:ascii="Arial" w:hAnsi="Arial" w:cs="Arial"/>
                <w:color w:val="000000"/>
                <w:highlight w:val="yellow"/>
              </w:rPr>
            </w:pPr>
            <w:r w:rsidRPr="007B4BF4">
              <w:rPr>
                <w:rFonts w:ascii="Arial" w:hAnsi="Arial" w:cs="Arial"/>
                <w:color w:val="000000"/>
                <w:sz w:val="22"/>
                <w:szCs w:val="22"/>
                <w:lang w:val="en-GB"/>
              </w:rPr>
              <w:t>Review all patients newly initiated on escitalopram</w:t>
            </w:r>
          </w:p>
        </w:tc>
        <w:tc>
          <w:tcPr>
            <w:tcW w:w="915" w:type="pct"/>
            <w:gridSpan w:val="2"/>
            <w:shd w:val="clear" w:color="auto" w:fill="auto"/>
          </w:tcPr>
          <w:p w:rsidR="00310BFC" w:rsidRPr="00310BFC" w:rsidRDefault="00310BFC" w:rsidP="00310BFC">
            <w:pPr>
              <w:rPr>
                <w:rFonts w:ascii="Arial" w:hAnsi="Arial" w:cs="Arial"/>
                <w:color w:val="000000"/>
                <w:sz w:val="22"/>
                <w:szCs w:val="22"/>
                <w:lang w:val="en-GB"/>
              </w:rPr>
            </w:pPr>
            <w:r w:rsidRPr="00310BFC">
              <w:rPr>
                <w:rFonts w:ascii="Arial" w:hAnsi="Arial" w:cs="Arial"/>
                <w:color w:val="000000"/>
                <w:sz w:val="22"/>
                <w:szCs w:val="22"/>
                <w:lang w:val="en-GB"/>
              </w:rPr>
              <w:t>Unable to quantify savings</w:t>
            </w:r>
          </w:p>
          <w:p w:rsidR="00310BFC" w:rsidRPr="00AD49D0" w:rsidRDefault="00310BFC" w:rsidP="00310BFC">
            <w:pPr>
              <w:rPr>
                <w:rFonts w:ascii="Arial" w:hAnsi="Arial" w:cs="Arial"/>
                <w:color w:val="000000"/>
                <w:sz w:val="22"/>
                <w:szCs w:val="22"/>
                <w:highlight w:val="yellow"/>
                <w:lang w:val="en-GB"/>
              </w:rPr>
            </w:pPr>
          </w:p>
        </w:tc>
        <w:tc>
          <w:tcPr>
            <w:tcW w:w="484" w:type="pct"/>
          </w:tcPr>
          <w:p w:rsidR="00310BFC" w:rsidRPr="00310BFC" w:rsidRDefault="00310BFC" w:rsidP="00897025">
            <w:pPr>
              <w:rPr>
                <w:rFonts w:ascii="Arial" w:hAnsi="Arial" w:cs="Arial"/>
                <w:sz w:val="22"/>
                <w:szCs w:val="22"/>
              </w:rPr>
            </w:pPr>
            <w:r w:rsidRPr="00310BFC">
              <w:rPr>
                <w:rFonts w:ascii="Arial" w:hAnsi="Arial" w:cs="Arial"/>
                <w:sz w:val="22"/>
                <w:szCs w:val="22"/>
              </w:rPr>
              <w:t>4 and 5</w:t>
            </w:r>
          </w:p>
        </w:tc>
        <w:tc>
          <w:tcPr>
            <w:tcW w:w="601" w:type="pct"/>
          </w:tcPr>
          <w:p w:rsidR="00310BFC" w:rsidRPr="00310BFC" w:rsidRDefault="00310BFC" w:rsidP="00897025">
            <w:pPr>
              <w:rPr>
                <w:rFonts w:ascii="Arial" w:hAnsi="Arial" w:cs="Arial"/>
                <w:sz w:val="22"/>
                <w:szCs w:val="22"/>
              </w:rPr>
            </w:pPr>
            <w:r w:rsidRPr="00310BFC">
              <w:rPr>
                <w:rFonts w:ascii="Arial" w:hAnsi="Arial" w:cs="Arial"/>
                <w:sz w:val="22"/>
                <w:szCs w:val="22"/>
              </w:rPr>
              <w:t>2 and 5</w:t>
            </w:r>
          </w:p>
        </w:tc>
      </w:tr>
      <w:tr w:rsidR="005A6A44" w:rsidRPr="00733E3A" w:rsidTr="00961215">
        <w:tc>
          <w:tcPr>
            <w:tcW w:w="686" w:type="pct"/>
            <w:vMerge/>
            <w:shd w:val="clear" w:color="auto" w:fill="auto"/>
            <w:vAlign w:val="center"/>
          </w:tcPr>
          <w:p w:rsidR="00310BFC" w:rsidRPr="00AD49D0" w:rsidRDefault="00310BFC" w:rsidP="0092037E">
            <w:pPr>
              <w:jc w:val="center"/>
              <w:rPr>
                <w:rFonts w:ascii="Arial" w:hAnsi="Arial" w:cs="Arial"/>
                <w:color w:val="000000"/>
                <w:sz w:val="22"/>
                <w:szCs w:val="22"/>
                <w:highlight w:val="yellow"/>
                <w:lang w:val="en-GB"/>
              </w:rPr>
            </w:pPr>
          </w:p>
        </w:tc>
        <w:tc>
          <w:tcPr>
            <w:tcW w:w="1023" w:type="pct"/>
            <w:shd w:val="clear" w:color="auto" w:fill="auto"/>
          </w:tcPr>
          <w:p w:rsidR="00310BFC" w:rsidRPr="00AD49D0" w:rsidRDefault="00310BFC" w:rsidP="000F2EF4">
            <w:pPr>
              <w:pStyle w:val="Default"/>
              <w:rPr>
                <w:sz w:val="22"/>
                <w:szCs w:val="22"/>
                <w:highlight w:val="yellow"/>
              </w:rPr>
            </w:pPr>
            <w:r w:rsidRPr="007B4BF4">
              <w:rPr>
                <w:sz w:val="22"/>
                <w:szCs w:val="22"/>
              </w:rPr>
              <w:t xml:space="preserve">NICE depression guideline implementation – review of all patients still prescribed </w:t>
            </w:r>
            <w:proofErr w:type="spellStart"/>
            <w:r w:rsidRPr="007B4BF4">
              <w:rPr>
                <w:sz w:val="22"/>
                <w:szCs w:val="22"/>
              </w:rPr>
              <w:t>dosulepin</w:t>
            </w:r>
            <w:proofErr w:type="spellEnd"/>
          </w:p>
        </w:tc>
        <w:tc>
          <w:tcPr>
            <w:tcW w:w="653" w:type="pct"/>
            <w:gridSpan w:val="3"/>
          </w:tcPr>
          <w:p w:rsidR="00310BFC" w:rsidRPr="00AD49D0" w:rsidRDefault="00310BFC" w:rsidP="000F2EF4">
            <w:pPr>
              <w:pStyle w:val="Default"/>
              <w:rPr>
                <w:sz w:val="22"/>
                <w:szCs w:val="22"/>
                <w:highlight w:val="yellow"/>
              </w:rPr>
            </w:pPr>
            <w:proofErr w:type="spellStart"/>
            <w:r w:rsidRPr="00310BFC">
              <w:rPr>
                <w:sz w:val="22"/>
                <w:szCs w:val="22"/>
              </w:rPr>
              <w:t>Dosulepin</w:t>
            </w:r>
            <w:proofErr w:type="spellEnd"/>
            <w:r w:rsidRPr="00310BFC">
              <w:rPr>
                <w:sz w:val="22"/>
                <w:szCs w:val="22"/>
              </w:rPr>
              <w:t xml:space="preserve"> items as a % of all antidepressants</w:t>
            </w:r>
          </w:p>
        </w:tc>
        <w:tc>
          <w:tcPr>
            <w:tcW w:w="638" w:type="pct"/>
          </w:tcPr>
          <w:p w:rsidR="00310BFC" w:rsidRPr="007B4BF4" w:rsidRDefault="00310BFC" w:rsidP="0091637F">
            <w:pPr>
              <w:rPr>
                <w:rFonts w:ascii="Arial" w:hAnsi="Arial" w:cs="Arial"/>
                <w:color w:val="000000"/>
                <w:sz w:val="22"/>
                <w:szCs w:val="22"/>
                <w:highlight w:val="yellow"/>
                <w:lang w:val="en-GB"/>
              </w:rPr>
            </w:pPr>
            <w:r w:rsidRPr="007B4BF4">
              <w:rPr>
                <w:rFonts w:ascii="Arial" w:hAnsi="Arial" w:cs="Arial"/>
                <w:color w:val="000000"/>
                <w:sz w:val="22"/>
                <w:szCs w:val="22"/>
                <w:lang w:val="en-GB"/>
              </w:rPr>
              <w:t xml:space="preserve">Review all patients prescribed </w:t>
            </w:r>
            <w:proofErr w:type="spellStart"/>
            <w:r w:rsidRPr="007B4BF4">
              <w:rPr>
                <w:rFonts w:ascii="Arial" w:hAnsi="Arial" w:cs="Arial"/>
                <w:color w:val="000000"/>
                <w:sz w:val="22"/>
                <w:szCs w:val="22"/>
                <w:lang w:val="en-GB"/>
              </w:rPr>
              <w:t>dosulepin</w:t>
            </w:r>
            <w:proofErr w:type="spellEnd"/>
            <w:r w:rsidRPr="007B4BF4">
              <w:rPr>
                <w:rFonts w:ascii="Arial" w:hAnsi="Arial" w:cs="Arial"/>
                <w:color w:val="000000"/>
                <w:sz w:val="22"/>
                <w:szCs w:val="22"/>
                <w:lang w:val="en-GB"/>
              </w:rPr>
              <w:t xml:space="preserve"> and discontinue treatment or change to an alternative as appropriate. If </w:t>
            </w:r>
            <w:proofErr w:type="spellStart"/>
            <w:r w:rsidRPr="007B4BF4">
              <w:rPr>
                <w:rFonts w:ascii="Arial" w:hAnsi="Arial" w:cs="Arial"/>
                <w:color w:val="000000"/>
                <w:sz w:val="22"/>
                <w:szCs w:val="22"/>
                <w:lang w:val="en-GB"/>
              </w:rPr>
              <w:t>dosulepin</w:t>
            </w:r>
            <w:proofErr w:type="spellEnd"/>
            <w:r w:rsidRPr="007B4BF4">
              <w:rPr>
                <w:rFonts w:ascii="Arial" w:hAnsi="Arial" w:cs="Arial"/>
                <w:color w:val="000000"/>
                <w:sz w:val="22"/>
                <w:szCs w:val="22"/>
                <w:lang w:val="en-GB"/>
              </w:rPr>
              <w:t xml:space="preserve"> to be continued, document in patient’s notes the reason </w:t>
            </w:r>
            <w:r w:rsidRPr="007B4BF4">
              <w:rPr>
                <w:rFonts w:ascii="Arial" w:hAnsi="Arial" w:cs="Arial"/>
                <w:color w:val="000000"/>
                <w:sz w:val="22"/>
                <w:szCs w:val="22"/>
                <w:lang w:val="en-GB"/>
              </w:rPr>
              <w:lastRenderedPageBreak/>
              <w:t>why</w:t>
            </w:r>
          </w:p>
        </w:tc>
        <w:tc>
          <w:tcPr>
            <w:tcW w:w="915" w:type="pct"/>
            <w:gridSpan w:val="2"/>
            <w:shd w:val="clear" w:color="auto" w:fill="auto"/>
          </w:tcPr>
          <w:p w:rsidR="00310BFC" w:rsidRPr="00AD49D0" w:rsidRDefault="00310BFC" w:rsidP="008F1A86">
            <w:pPr>
              <w:rPr>
                <w:rFonts w:ascii="Arial" w:hAnsi="Arial" w:cs="Arial"/>
                <w:color w:val="000000"/>
                <w:sz w:val="22"/>
                <w:szCs w:val="22"/>
                <w:highlight w:val="yellow"/>
                <w:lang w:val="en-GB"/>
              </w:rPr>
            </w:pPr>
            <w:r w:rsidRPr="00310BFC">
              <w:rPr>
                <w:rFonts w:ascii="Arial" w:hAnsi="Arial" w:cs="Arial"/>
                <w:color w:val="000000"/>
                <w:sz w:val="22"/>
                <w:szCs w:val="22"/>
                <w:lang w:val="en-GB"/>
              </w:rPr>
              <w:lastRenderedPageBreak/>
              <w:t>Not possible to quantify savings</w:t>
            </w:r>
          </w:p>
        </w:tc>
        <w:tc>
          <w:tcPr>
            <w:tcW w:w="484" w:type="pct"/>
          </w:tcPr>
          <w:p w:rsidR="00310BFC" w:rsidRPr="00310BFC" w:rsidRDefault="00310BFC" w:rsidP="008F1A86">
            <w:pPr>
              <w:rPr>
                <w:rFonts w:ascii="Arial" w:hAnsi="Arial" w:cs="Arial"/>
                <w:color w:val="000000"/>
                <w:sz w:val="22"/>
                <w:szCs w:val="22"/>
                <w:lang w:val="en-GB"/>
              </w:rPr>
            </w:pPr>
            <w:r w:rsidRPr="00310BFC">
              <w:rPr>
                <w:rFonts w:ascii="Arial" w:hAnsi="Arial" w:cs="Arial"/>
                <w:color w:val="000000"/>
                <w:sz w:val="22"/>
                <w:szCs w:val="22"/>
                <w:lang w:val="en-GB"/>
              </w:rPr>
              <w:t>4 and 5</w:t>
            </w:r>
          </w:p>
        </w:tc>
        <w:tc>
          <w:tcPr>
            <w:tcW w:w="601" w:type="pct"/>
          </w:tcPr>
          <w:p w:rsidR="00310BFC" w:rsidRPr="00310BFC" w:rsidRDefault="00310BFC" w:rsidP="008F1A86">
            <w:pPr>
              <w:rPr>
                <w:rFonts w:ascii="Arial" w:hAnsi="Arial" w:cs="Arial"/>
                <w:color w:val="000000"/>
                <w:sz w:val="22"/>
                <w:szCs w:val="22"/>
                <w:lang w:val="en-GB"/>
              </w:rPr>
            </w:pPr>
            <w:r w:rsidRPr="00310BFC">
              <w:rPr>
                <w:rFonts w:ascii="Arial" w:hAnsi="Arial" w:cs="Arial"/>
                <w:color w:val="000000"/>
                <w:sz w:val="22"/>
                <w:szCs w:val="22"/>
                <w:lang w:val="en-GB"/>
              </w:rPr>
              <w:t>2 and 5</w:t>
            </w:r>
          </w:p>
        </w:tc>
      </w:tr>
      <w:tr w:rsidR="005A6A44" w:rsidTr="00961215">
        <w:tc>
          <w:tcPr>
            <w:tcW w:w="686" w:type="pct"/>
            <w:vMerge w:val="restart"/>
            <w:shd w:val="clear" w:color="auto" w:fill="auto"/>
            <w:vAlign w:val="center"/>
          </w:tcPr>
          <w:p w:rsidR="00310BFC" w:rsidRDefault="00310BFC" w:rsidP="0091637F">
            <w:pPr>
              <w:jc w:val="center"/>
              <w:rPr>
                <w:rFonts w:ascii="Arial" w:hAnsi="Arial" w:cs="Arial"/>
                <w:color w:val="000000"/>
                <w:sz w:val="22"/>
                <w:szCs w:val="22"/>
                <w:lang w:val="en-GB"/>
              </w:rPr>
            </w:pPr>
          </w:p>
          <w:p w:rsidR="00310BFC" w:rsidRDefault="00310BFC" w:rsidP="0091637F">
            <w:pPr>
              <w:jc w:val="center"/>
              <w:rPr>
                <w:rFonts w:ascii="Arial" w:hAnsi="Arial" w:cs="Arial"/>
                <w:color w:val="000000"/>
                <w:sz w:val="22"/>
                <w:szCs w:val="22"/>
                <w:lang w:val="en-GB"/>
              </w:rPr>
            </w:pPr>
          </w:p>
          <w:p w:rsidR="00310BFC" w:rsidRDefault="00310BFC" w:rsidP="0091637F">
            <w:pPr>
              <w:jc w:val="center"/>
              <w:rPr>
                <w:rFonts w:ascii="Arial" w:hAnsi="Arial" w:cs="Arial"/>
                <w:color w:val="000000"/>
                <w:sz w:val="22"/>
                <w:szCs w:val="22"/>
                <w:lang w:val="en-GB"/>
              </w:rPr>
            </w:pPr>
            <w:r w:rsidRPr="00310BFC">
              <w:rPr>
                <w:rFonts w:ascii="Arial" w:hAnsi="Arial" w:cs="Arial"/>
                <w:color w:val="000000"/>
                <w:sz w:val="22"/>
                <w:szCs w:val="22"/>
                <w:lang w:val="en-GB"/>
              </w:rPr>
              <w:t>Analgesics</w:t>
            </w:r>
          </w:p>
          <w:p w:rsidR="00310BFC" w:rsidRPr="00BD6015" w:rsidRDefault="00310BFC" w:rsidP="0091637F">
            <w:pPr>
              <w:jc w:val="center"/>
              <w:rPr>
                <w:rFonts w:ascii="Arial" w:hAnsi="Arial" w:cs="Arial"/>
                <w:b/>
                <w:color w:val="000000"/>
                <w:sz w:val="22"/>
                <w:szCs w:val="22"/>
                <w:lang w:val="en-GB"/>
              </w:rPr>
            </w:pPr>
          </w:p>
        </w:tc>
        <w:tc>
          <w:tcPr>
            <w:tcW w:w="1023" w:type="pct"/>
            <w:shd w:val="clear" w:color="auto" w:fill="auto"/>
          </w:tcPr>
          <w:p w:rsidR="00310BFC" w:rsidRDefault="00310BFC" w:rsidP="0091637F">
            <w:pPr>
              <w:pStyle w:val="Default"/>
            </w:pPr>
            <w:r>
              <w:rPr>
                <w:sz w:val="22"/>
                <w:szCs w:val="22"/>
              </w:rPr>
              <w:t xml:space="preserve">NPC key therapeutic topic. </w:t>
            </w:r>
          </w:p>
          <w:p w:rsidR="00310BFC" w:rsidRPr="00733E3A" w:rsidRDefault="00310BFC" w:rsidP="0091637F">
            <w:pPr>
              <w:rPr>
                <w:rFonts w:ascii="Arial" w:hAnsi="Arial" w:cs="Arial"/>
                <w:color w:val="000000"/>
                <w:sz w:val="22"/>
                <w:szCs w:val="22"/>
                <w:lang w:val="en-GB"/>
              </w:rPr>
            </w:pPr>
            <w:r w:rsidRPr="00510078">
              <w:rPr>
                <w:rFonts w:ascii="Arial" w:hAnsi="Arial" w:cs="Arial"/>
                <w:color w:val="000000"/>
                <w:sz w:val="22"/>
                <w:szCs w:val="22"/>
                <w:lang w:val="en-GB"/>
              </w:rPr>
              <w:t xml:space="preserve">To reduce the risk of adverse GI and CV risks associated with diclofenac and </w:t>
            </w:r>
            <w:proofErr w:type="spellStart"/>
            <w:r w:rsidRPr="00510078">
              <w:rPr>
                <w:rFonts w:ascii="Arial" w:hAnsi="Arial" w:cs="Arial"/>
                <w:color w:val="000000"/>
                <w:sz w:val="22"/>
                <w:szCs w:val="22"/>
                <w:lang w:val="en-GB"/>
              </w:rPr>
              <w:t>coxib</w:t>
            </w:r>
            <w:proofErr w:type="spellEnd"/>
            <w:r w:rsidRPr="00510078">
              <w:rPr>
                <w:rFonts w:ascii="Arial" w:hAnsi="Arial" w:cs="Arial"/>
                <w:color w:val="000000"/>
                <w:sz w:val="22"/>
                <w:szCs w:val="22"/>
                <w:lang w:val="en-GB"/>
              </w:rPr>
              <w:t xml:space="preserve"> prescribing</w:t>
            </w:r>
          </w:p>
        </w:tc>
        <w:tc>
          <w:tcPr>
            <w:tcW w:w="653" w:type="pct"/>
            <w:gridSpan w:val="3"/>
          </w:tcPr>
          <w:p w:rsidR="00310BFC" w:rsidRPr="00B966EF" w:rsidRDefault="00310BFC" w:rsidP="0091637F">
            <w:pPr>
              <w:rPr>
                <w:rFonts w:ascii="Arial" w:hAnsi="Arial" w:cs="Arial"/>
                <w:color w:val="000000"/>
                <w:sz w:val="22"/>
                <w:szCs w:val="22"/>
              </w:rPr>
            </w:pPr>
            <w:r>
              <w:rPr>
                <w:rFonts w:ascii="Arial" w:hAnsi="Arial" w:cs="Arial"/>
                <w:color w:val="000000"/>
                <w:sz w:val="22"/>
                <w:szCs w:val="22"/>
              </w:rPr>
              <w:t>Naproxen / ibuprofen items as % all oral NSAID items</w:t>
            </w:r>
          </w:p>
        </w:tc>
        <w:tc>
          <w:tcPr>
            <w:tcW w:w="638" w:type="pct"/>
          </w:tcPr>
          <w:p w:rsidR="00310BFC" w:rsidRPr="00733E3A" w:rsidRDefault="00310BFC" w:rsidP="0091637F">
            <w:pPr>
              <w:rPr>
                <w:rFonts w:ascii="Arial" w:hAnsi="Arial" w:cs="Arial"/>
                <w:color w:val="000000"/>
                <w:sz w:val="22"/>
                <w:szCs w:val="22"/>
              </w:rPr>
            </w:pPr>
            <w:r>
              <w:rPr>
                <w:rFonts w:ascii="Arial" w:hAnsi="Arial" w:cs="Arial"/>
                <w:color w:val="000000"/>
                <w:sz w:val="22"/>
                <w:szCs w:val="22"/>
              </w:rPr>
              <w:t>Continued review of oral NSAID prescribing to stop or switch to naproxen / ibuprofen</w:t>
            </w:r>
          </w:p>
        </w:tc>
        <w:tc>
          <w:tcPr>
            <w:tcW w:w="915" w:type="pct"/>
            <w:gridSpan w:val="2"/>
            <w:shd w:val="clear" w:color="auto" w:fill="auto"/>
          </w:tcPr>
          <w:p w:rsidR="00310BFC" w:rsidRPr="00733E3A" w:rsidRDefault="00310BFC" w:rsidP="0091637F">
            <w:pPr>
              <w:rPr>
                <w:rFonts w:ascii="Arial" w:hAnsi="Arial" w:cs="Arial"/>
                <w:color w:val="000000"/>
                <w:sz w:val="22"/>
                <w:szCs w:val="22"/>
                <w:lang w:val="en-GB"/>
              </w:rPr>
            </w:pPr>
            <w:r>
              <w:rPr>
                <w:rFonts w:ascii="Arial" w:hAnsi="Arial" w:cs="Arial"/>
                <w:color w:val="000000"/>
                <w:sz w:val="22"/>
                <w:szCs w:val="22"/>
                <w:lang w:val="en-GB"/>
              </w:rPr>
              <w:t xml:space="preserve">Not possible to quantify savings – quality / safety </w:t>
            </w:r>
            <w:proofErr w:type="spellStart"/>
            <w:r>
              <w:rPr>
                <w:rFonts w:ascii="Arial" w:hAnsi="Arial" w:cs="Arial"/>
                <w:color w:val="000000"/>
                <w:sz w:val="22"/>
                <w:szCs w:val="22"/>
                <w:lang w:val="en-GB"/>
              </w:rPr>
              <w:t>workstream</w:t>
            </w:r>
            <w:proofErr w:type="spellEnd"/>
          </w:p>
        </w:tc>
        <w:tc>
          <w:tcPr>
            <w:tcW w:w="484" w:type="pct"/>
          </w:tcPr>
          <w:p w:rsidR="00310BFC" w:rsidRDefault="00310BFC" w:rsidP="0091637F">
            <w:pPr>
              <w:rPr>
                <w:rFonts w:ascii="Arial" w:hAnsi="Arial" w:cs="Arial"/>
                <w:color w:val="000000"/>
                <w:sz w:val="22"/>
                <w:szCs w:val="22"/>
                <w:lang w:val="en-GB"/>
              </w:rPr>
            </w:pPr>
            <w:r>
              <w:rPr>
                <w:rFonts w:ascii="Arial" w:hAnsi="Arial" w:cs="Arial"/>
                <w:color w:val="000000"/>
                <w:sz w:val="22"/>
                <w:szCs w:val="22"/>
                <w:lang w:val="en-GB"/>
              </w:rPr>
              <w:t>2</w:t>
            </w:r>
          </w:p>
        </w:tc>
        <w:tc>
          <w:tcPr>
            <w:tcW w:w="601" w:type="pct"/>
          </w:tcPr>
          <w:p w:rsidR="00310BFC" w:rsidRDefault="00310BFC" w:rsidP="0091637F">
            <w:pPr>
              <w:rPr>
                <w:rFonts w:ascii="Arial" w:hAnsi="Arial" w:cs="Arial"/>
                <w:color w:val="000000"/>
                <w:sz w:val="22"/>
                <w:szCs w:val="22"/>
                <w:lang w:val="en-GB"/>
              </w:rPr>
            </w:pPr>
            <w:r>
              <w:rPr>
                <w:rFonts w:ascii="Arial" w:hAnsi="Arial" w:cs="Arial"/>
                <w:color w:val="000000"/>
                <w:sz w:val="22"/>
                <w:szCs w:val="22"/>
                <w:lang w:val="en-GB"/>
              </w:rPr>
              <w:t>2 and 6</w:t>
            </w:r>
          </w:p>
        </w:tc>
      </w:tr>
      <w:tr w:rsidR="005A6A44" w:rsidRPr="00733E3A" w:rsidTr="00961215">
        <w:tc>
          <w:tcPr>
            <w:tcW w:w="686" w:type="pct"/>
            <w:vMerge/>
            <w:shd w:val="clear" w:color="auto" w:fill="auto"/>
            <w:vAlign w:val="center"/>
          </w:tcPr>
          <w:p w:rsidR="00310BFC" w:rsidRPr="00BD6015" w:rsidRDefault="00310BFC" w:rsidP="0092037E">
            <w:pPr>
              <w:jc w:val="center"/>
              <w:rPr>
                <w:rFonts w:ascii="Arial" w:hAnsi="Arial" w:cs="Arial"/>
                <w:b/>
                <w:color w:val="000000"/>
                <w:sz w:val="22"/>
                <w:szCs w:val="22"/>
                <w:lang w:val="en-GB"/>
              </w:rPr>
            </w:pPr>
          </w:p>
        </w:tc>
        <w:tc>
          <w:tcPr>
            <w:tcW w:w="1023" w:type="pct"/>
            <w:shd w:val="clear" w:color="auto" w:fill="auto"/>
          </w:tcPr>
          <w:p w:rsidR="00310BFC" w:rsidRPr="007B4BF4" w:rsidRDefault="00310BFC" w:rsidP="0091637F">
            <w:pPr>
              <w:pStyle w:val="Default"/>
              <w:rPr>
                <w:color w:val="auto"/>
                <w:sz w:val="22"/>
                <w:szCs w:val="22"/>
              </w:rPr>
            </w:pPr>
            <w:r w:rsidRPr="007B4BF4">
              <w:rPr>
                <w:color w:val="auto"/>
                <w:sz w:val="22"/>
                <w:szCs w:val="22"/>
              </w:rPr>
              <w:t>Review prescribing of all NSAIDs in patients with CKD 3-5 (e GFR &lt;60)</w:t>
            </w:r>
          </w:p>
        </w:tc>
        <w:tc>
          <w:tcPr>
            <w:tcW w:w="653" w:type="pct"/>
            <w:gridSpan w:val="3"/>
          </w:tcPr>
          <w:p w:rsidR="00310BFC" w:rsidRPr="007B4BF4" w:rsidRDefault="00310BFC" w:rsidP="0091637F">
            <w:pPr>
              <w:rPr>
                <w:rFonts w:ascii="Arial" w:hAnsi="Arial" w:cs="Arial"/>
              </w:rPr>
            </w:pPr>
            <w:r w:rsidRPr="007B4BF4">
              <w:rPr>
                <w:rFonts w:ascii="Arial" w:hAnsi="Arial" w:cs="Arial"/>
                <w:sz w:val="22"/>
                <w:szCs w:val="22"/>
              </w:rPr>
              <w:t>Reduction in  number of patients with CKD 3-5 prescribed an NSAID</w:t>
            </w:r>
          </w:p>
        </w:tc>
        <w:tc>
          <w:tcPr>
            <w:tcW w:w="638" w:type="pct"/>
          </w:tcPr>
          <w:p w:rsidR="00310BFC" w:rsidRPr="007B4BF4" w:rsidRDefault="00310BFC" w:rsidP="0091637F">
            <w:pPr>
              <w:rPr>
                <w:rFonts w:ascii="Arial" w:hAnsi="Arial" w:cs="Arial"/>
              </w:rPr>
            </w:pPr>
            <w:r w:rsidRPr="007B4BF4">
              <w:rPr>
                <w:rFonts w:ascii="Arial" w:hAnsi="Arial" w:cs="Arial"/>
                <w:sz w:val="22"/>
                <w:szCs w:val="22"/>
              </w:rPr>
              <w:t>Review all patients with CKD 3-5 prescribed regular, oral NSAIDs</w:t>
            </w:r>
          </w:p>
        </w:tc>
        <w:tc>
          <w:tcPr>
            <w:tcW w:w="915" w:type="pct"/>
            <w:gridSpan w:val="2"/>
            <w:shd w:val="clear" w:color="auto" w:fill="auto"/>
          </w:tcPr>
          <w:p w:rsidR="00310BFC" w:rsidRPr="007B4BF4" w:rsidRDefault="00310BFC" w:rsidP="0091637F">
            <w:pPr>
              <w:rPr>
                <w:rFonts w:ascii="Arial" w:hAnsi="Arial" w:cs="Arial"/>
                <w:lang w:val="en-GB"/>
              </w:rPr>
            </w:pPr>
            <w:r w:rsidRPr="007B4BF4">
              <w:rPr>
                <w:rFonts w:ascii="Arial" w:hAnsi="Arial" w:cs="Arial"/>
                <w:sz w:val="22"/>
                <w:szCs w:val="22"/>
                <w:lang w:val="en-GB"/>
              </w:rPr>
              <w:t xml:space="preserve">Not possible to quantify savings – quality / safety </w:t>
            </w:r>
            <w:proofErr w:type="spellStart"/>
            <w:r w:rsidRPr="007B4BF4">
              <w:rPr>
                <w:rFonts w:ascii="Arial" w:hAnsi="Arial" w:cs="Arial"/>
                <w:sz w:val="22"/>
                <w:szCs w:val="22"/>
                <w:lang w:val="en-GB"/>
              </w:rPr>
              <w:t>workstream</w:t>
            </w:r>
            <w:proofErr w:type="spellEnd"/>
          </w:p>
        </w:tc>
        <w:tc>
          <w:tcPr>
            <w:tcW w:w="484" w:type="pct"/>
          </w:tcPr>
          <w:p w:rsidR="00310BFC" w:rsidRDefault="00310BFC" w:rsidP="007566EB">
            <w:pPr>
              <w:rPr>
                <w:rFonts w:ascii="Arial" w:hAnsi="Arial" w:cs="Arial"/>
                <w:color w:val="000000"/>
                <w:sz w:val="22"/>
                <w:szCs w:val="22"/>
                <w:lang w:val="en-GB"/>
              </w:rPr>
            </w:pPr>
            <w:r>
              <w:rPr>
                <w:rFonts w:ascii="Arial" w:hAnsi="Arial" w:cs="Arial"/>
                <w:color w:val="000000"/>
                <w:sz w:val="22"/>
                <w:szCs w:val="22"/>
                <w:lang w:val="en-GB"/>
              </w:rPr>
              <w:t>2</w:t>
            </w:r>
          </w:p>
        </w:tc>
        <w:tc>
          <w:tcPr>
            <w:tcW w:w="601" w:type="pct"/>
          </w:tcPr>
          <w:p w:rsidR="00310BFC" w:rsidRDefault="00310BFC" w:rsidP="007566EB">
            <w:pPr>
              <w:rPr>
                <w:rFonts w:ascii="Arial" w:hAnsi="Arial" w:cs="Arial"/>
                <w:color w:val="000000"/>
                <w:sz w:val="22"/>
                <w:szCs w:val="22"/>
                <w:lang w:val="en-GB"/>
              </w:rPr>
            </w:pPr>
          </w:p>
        </w:tc>
      </w:tr>
      <w:tr w:rsidR="00961215" w:rsidRPr="00733E3A" w:rsidTr="00961215">
        <w:trPr>
          <w:trHeight w:val="3473"/>
        </w:trPr>
        <w:tc>
          <w:tcPr>
            <w:tcW w:w="686" w:type="pct"/>
            <w:shd w:val="clear" w:color="auto" w:fill="auto"/>
            <w:vAlign w:val="center"/>
          </w:tcPr>
          <w:p w:rsidR="00961215" w:rsidRDefault="00961215" w:rsidP="0092037E">
            <w:pPr>
              <w:jc w:val="center"/>
              <w:rPr>
                <w:rFonts w:ascii="Arial" w:hAnsi="Arial" w:cs="Arial"/>
                <w:color w:val="000000"/>
                <w:sz w:val="22"/>
                <w:szCs w:val="22"/>
                <w:lang w:val="en-GB"/>
              </w:rPr>
            </w:pPr>
            <w:r w:rsidRPr="00024964">
              <w:rPr>
                <w:rFonts w:ascii="Arial" w:hAnsi="Arial" w:cs="Arial"/>
                <w:color w:val="000000"/>
                <w:sz w:val="22"/>
                <w:szCs w:val="22"/>
                <w:lang w:val="en-GB"/>
              </w:rPr>
              <w:t>Antimicrobials</w:t>
            </w:r>
          </w:p>
          <w:p w:rsidR="00961215" w:rsidRDefault="00961215" w:rsidP="0092037E">
            <w:pPr>
              <w:jc w:val="center"/>
              <w:rPr>
                <w:rFonts w:ascii="Arial" w:hAnsi="Arial" w:cs="Arial"/>
                <w:color w:val="000000"/>
                <w:sz w:val="22"/>
                <w:szCs w:val="22"/>
                <w:lang w:val="en-GB"/>
              </w:rPr>
            </w:pPr>
          </w:p>
          <w:p w:rsidR="00961215" w:rsidRDefault="00961215" w:rsidP="0092037E">
            <w:pPr>
              <w:jc w:val="center"/>
              <w:rPr>
                <w:rFonts w:ascii="Arial" w:hAnsi="Arial" w:cs="Arial"/>
                <w:color w:val="000000"/>
                <w:sz w:val="22"/>
                <w:szCs w:val="22"/>
                <w:lang w:val="en-GB"/>
              </w:rPr>
            </w:pPr>
          </w:p>
          <w:p w:rsidR="00961215" w:rsidRDefault="00961215" w:rsidP="0092037E">
            <w:pPr>
              <w:jc w:val="center"/>
              <w:rPr>
                <w:rFonts w:ascii="Arial" w:hAnsi="Arial" w:cs="Arial"/>
                <w:color w:val="000000"/>
                <w:sz w:val="22"/>
                <w:szCs w:val="22"/>
                <w:lang w:val="en-GB"/>
              </w:rPr>
            </w:pPr>
          </w:p>
          <w:p w:rsidR="00961215" w:rsidRDefault="00961215" w:rsidP="0092037E">
            <w:pPr>
              <w:jc w:val="center"/>
              <w:rPr>
                <w:rFonts w:ascii="Arial" w:hAnsi="Arial" w:cs="Arial"/>
                <w:color w:val="000000"/>
                <w:sz w:val="22"/>
                <w:szCs w:val="22"/>
                <w:lang w:val="en-GB"/>
              </w:rPr>
            </w:pPr>
          </w:p>
          <w:p w:rsidR="00961215" w:rsidRDefault="00961215" w:rsidP="0092037E">
            <w:pPr>
              <w:jc w:val="center"/>
              <w:rPr>
                <w:rFonts w:ascii="Arial" w:hAnsi="Arial" w:cs="Arial"/>
                <w:color w:val="000000"/>
                <w:sz w:val="22"/>
                <w:szCs w:val="22"/>
                <w:lang w:val="en-GB"/>
              </w:rPr>
            </w:pPr>
          </w:p>
          <w:p w:rsidR="00961215" w:rsidRDefault="00961215" w:rsidP="0092037E">
            <w:pPr>
              <w:jc w:val="center"/>
              <w:rPr>
                <w:rFonts w:ascii="Arial" w:hAnsi="Arial" w:cs="Arial"/>
                <w:color w:val="000000"/>
                <w:sz w:val="22"/>
                <w:szCs w:val="22"/>
                <w:lang w:val="en-GB"/>
              </w:rPr>
            </w:pPr>
          </w:p>
          <w:p w:rsidR="00961215" w:rsidRPr="00AD49D0" w:rsidRDefault="00961215" w:rsidP="0092037E">
            <w:pPr>
              <w:jc w:val="center"/>
              <w:rPr>
                <w:rFonts w:ascii="Arial" w:hAnsi="Arial" w:cs="Arial"/>
                <w:color w:val="000000"/>
                <w:sz w:val="22"/>
                <w:szCs w:val="22"/>
                <w:highlight w:val="yellow"/>
                <w:lang w:val="en-GB"/>
              </w:rPr>
            </w:pPr>
          </w:p>
        </w:tc>
        <w:tc>
          <w:tcPr>
            <w:tcW w:w="1023" w:type="pct"/>
            <w:shd w:val="clear" w:color="auto" w:fill="auto"/>
          </w:tcPr>
          <w:p w:rsidR="00961215" w:rsidRDefault="00961215">
            <w:pPr>
              <w:pStyle w:val="Default"/>
              <w:rPr>
                <w:sz w:val="22"/>
                <w:szCs w:val="22"/>
              </w:rPr>
            </w:pPr>
            <w:r>
              <w:rPr>
                <w:sz w:val="22"/>
                <w:szCs w:val="22"/>
              </w:rPr>
              <w:t xml:space="preserve">Local </w:t>
            </w:r>
            <w:proofErr w:type="spellStart"/>
            <w:r>
              <w:rPr>
                <w:sz w:val="22"/>
                <w:szCs w:val="22"/>
              </w:rPr>
              <w:t>workstream</w:t>
            </w:r>
            <w:proofErr w:type="spellEnd"/>
            <w:r>
              <w:rPr>
                <w:sz w:val="22"/>
                <w:szCs w:val="22"/>
              </w:rPr>
              <w:t>.</w:t>
            </w:r>
          </w:p>
          <w:p w:rsidR="00961215" w:rsidRDefault="00961215">
            <w:pPr>
              <w:pStyle w:val="Default"/>
              <w:rPr>
                <w:sz w:val="18"/>
                <w:szCs w:val="22"/>
              </w:rPr>
            </w:pPr>
          </w:p>
          <w:p w:rsidR="00961215" w:rsidRDefault="00961215">
            <w:pPr>
              <w:pStyle w:val="Default"/>
              <w:rPr>
                <w:sz w:val="22"/>
                <w:szCs w:val="22"/>
              </w:rPr>
            </w:pPr>
            <w:r>
              <w:rPr>
                <w:sz w:val="22"/>
                <w:szCs w:val="22"/>
              </w:rPr>
              <w:t>Audit for one week in each quarter of patients living in a care home and prescribed ANY antimicrobial drug during the audit week.</w:t>
            </w:r>
          </w:p>
          <w:p w:rsidR="00961215" w:rsidRDefault="00961215">
            <w:pPr>
              <w:pStyle w:val="Default"/>
              <w:rPr>
                <w:sz w:val="18"/>
                <w:szCs w:val="22"/>
              </w:rPr>
            </w:pPr>
          </w:p>
          <w:p w:rsidR="00961215" w:rsidRDefault="00961215">
            <w:pPr>
              <w:rPr>
                <w:rFonts w:ascii="Arial" w:hAnsi="Arial" w:cs="Arial"/>
                <w:color w:val="000000"/>
                <w:sz w:val="22"/>
                <w:szCs w:val="22"/>
                <w:lang w:val="en-GB"/>
              </w:rPr>
            </w:pPr>
            <w:r>
              <w:rPr>
                <w:rFonts w:ascii="Arial" w:hAnsi="Arial" w:cs="Arial"/>
                <w:color w:val="000000"/>
                <w:sz w:val="22"/>
                <w:szCs w:val="22"/>
                <w:lang w:val="en-GB"/>
              </w:rPr>
              <w:t xml:space="preserve">Audit of antimicrobial prescribing using consultation information, allergy status, culture &amp; sensitivity reports and secondary care information to assess the clinical indicators for and appropriateness of, </w:t>
            </w:r>
            <w:r>
              <w:rPr>
                <w:rFonts w:ascii="Arial" w:hAnsi="Arial" w:cs="Arial"/>
                <w:b/>
                <w:color w:val="000000"/>
                <w:sz w:val="22"/>
                <w:szCs w:val="22"/>
                <w:lang w:val="en-GB"/>
              </w:rPr>
              <w:t>any</w:t>
            </w:r>
            <w:r>
              <w:rPr>
                <w:rFonts w:ascii="Arial" w:hAnsi="Arial" w:cs="Arial"/>
                <w:color w:val="000000"/>
                <w:sz w:val="22"/>
                <w:szCs w:val="22"/>
                <w:lang w:val="en-GB"/>
              </w:rPr>
              <w:t xml:space="preserve"> antimicrobial treatment.</w:t>
            </w:r>
          </w:p>
          <w:p w:rsidR="00961215" w:rsidRDefault="00961215">
            <w:pPr>
              <w:rPr>
                <w:rFonts w:ascii="Arial" w:hAnsi="Arial" w:cs="Arial"/>
                <w:color w:val="000000"/>
                <w:sz w:val="18"/>
                <w:szCs w:val="22"/>
                <w:lang w:val="en-GB"/>
              </w:rPr>
            </w:pPr>
          </w:p>
          <w:p w:rsidR="00961215" w:rsidRDefault="00961215">
            <w:pPr>
              <w:pStyle w:val="Default"/>
              <w:rPr>
                <w:sz w:val="22"/>
                <w:szCs w:val="22"/>
              </w:rPr>
            </w:pPr>
            <w:r>
              <w:rPr>
                <w:sz w:val="22"/>
                <w:szCs w:val="22"/>
              </w:rPr>
              <w:lastRenderedPageBreak/>
              <w:t>Additionally, to review the choice of the specific medication, dose and duration of treatment with reference to the current Pan-Mersey antimicrobial guidelines, NICE guidance etc.</w:t>
            </w:r>
          </w:p>
        </w:tc>
        <w:tc>
          <w:tcPr>
            <w:tcW w:w="653" w:type="pct"/>
            <w:gridSpan w:val="3"/>
            <w:vMerge w:val="restart"/>
          </w:tcPr>
          <w:p w:rsidR="00961215" w:rsidRDefault="00961215">
            <w:pPr>
              <w:rPr>
                <w:rFonts w:ascii="Arial" w:hAnsi="Arial" w:cs="Arial"/>
                <w:color w:val="000000"/>
                <w:sz w:val="22"/>
                <w:szCs w:val="22"/>
              </w:rPr>
            </w:pPr>
            <w:r>
              <w:rPr>
                <w:rFonts w:ascii="Arial" w:hAnsi="Arial" w:cs="Arial"/>
                <w:color w:val="000000"/>
                <w:sz w:val="22"/>
                <w:szCs w:val="22"/>
              </w:rPr>
              <w:lastRenderedPageBreak/>
              <w:t>Comparative figures for the rate of prescribing per number of patients on the list living in a care home for each quarter, weighted for list size, for each practice in the locality.</w:t>
            </w:r>
          </w:p>
          <w:p w:rsidR="00961215" w:rsidRDefault="00961215">
            <w:pPr>
              <w:rPr>
                <w:rFonts w:ascii="Arial" w:hAnsi="Arial" w:cs="Arial"/>
                <w:color w:val="000000"/>
                <w:sz w:val="18"/>
                <w:szCs w:val="22"/>
                <w:lang w:val="en-GB"/>
              </w:rPr>
            </w:pPr>
          </w:p>
          <w:p w:rsidR="00961215" w:rsidRDefault="00961215">
            <w:pPr>
              <w:rPr>
                <w:rFonts w:ascii="Arial" w:hAnsi="Arial" w:cs="Arial"/>
                <w:color w:val="000000"/>
                <w:sz w:val="22"/>
                <w:szCs w:val="22"/>
                <w:lang w:val="en-GB"/>
              </w:rPr>
            </w:pPr>
            <w:r>
              <w:rPr>
                <w:rFonts w:ascii="Arial" w:hAnsi="Arial" w:cs="Arial"/>
                <w:color w:val="000000"/>
                <w:sz w:val="22"/>
                <w:szCs w:val="22"/>
                <w:lang w:val="en-GB"/>
              </w:rPr>
              <w:t xml:space="preserve">Measure of the number of items reviewed as appropriate for each </w:t>
            </w:r>
            <w:r>
              <w:rPr>
                <w:rFonts w:ascii="Arial" w:hAnsi="Arial" w:cs="Arial"/>
                <w:color w:val="000000"/>
                <w:sz w:val="22"/>
                <w:szCs w:val="22"/>
                <w:lang w:val="en-GB"/>
              </w:rPr>
              <w:lastRenderedPageBreak/>
              <w:t>practice &amp; also standardised for number of care home residents / list size to allow comparisons.</w:t>
            </w:r>
          </w:p>
          <w:p w:rsidR="00961215" w:rsidRDefault="00961215">
            <w:pPr>
              <w:rPr>
                <w:rFonts w:ascii="Arial" w:hAnsi="Arial" w:cs="Arial"/>
                <w:color w:val="000000"/>
                <w:sz w:val="22"/>
                <w:szCs w:val="22"/>
                <w:lang w:val="en-GB"/>
              </w:rPr>
            </w:pPr>
          </w:p>
          <w:p w:rsidR="00961215" w:rsidRDefault="00961215" w:rsidP="00961215">
            <w:pPr>
              <w:rPr>
                <w:rFonts w:ascii="Arial" w:hAnsi="Arial" w:cs="Arial"/>
                <w:color w:val="000000"/>
                <w:sz w:val="22"/>
                <w:szCs w:val="22"/>
              </w:rPr>
            </w:pPr>
            <w:r>
              <w:rPr>
                <w:rFonts w:ascii="Arial" w:hAnsi="Arial" w:cs="Arial"/>
                <w:color w:val="000000"/>
                <w:sz w:val="22"/>
                <w:szCs w:val="22"/>
              </w:rPr>
              <w:t>Comparative figures for the rate of prescribing per number of patients on the list for each quarter, weighted for list size, for each practice in the locality.</w:t>
            </w:r>
          </w:p>
          <w:p w:rsidR="00961215" w:rsidRDefault="00961215" w:rsidP="00961215">
            <w:pPr>
              <w:rPr>
                <w:rFonts w:ascii="Arial" w:hAnsi="Arial" w:cs="Arial"/>
                <w:color w:val="000000"/>
                <w:sz w:val="18"/>
                <w:szCs w:val="22"/>
                <w:lang w:val="en-GB"/>
              </w:rPr>
            </w:pPr>
          </w:p>
          <w:p w:rsidR="00961215" w:rsidRDefault="00961215" w:rsidP="00961215">
            <w:pPr>
              <w:rPr>
                <w:rFonts w:ascii="Arial" w:hAnsi="Arial" w:cs="Arial"/>
                <w:color w:val="000000"/>
                <w:sz w:val="22"/>
                <w:szCs w:val="22"/>
                <w:lang w:val="en-GB"/>
              </w:rPr>
            </w:pPr>
            <w:r>
              <w:rPr>
                <w:rFonts w:ascii="Arial" w:hAnsi="Arial" w:cs="Arial"/>
                <w:color w:val="000000"/>
                <w:sz w:val="22"/>
                <w:szCs w:val="22"/>
                <w:lang w:val="en-GB"/>
              </w:rPr>
              <w:t>Measure of the number of items reviewed as appropriate for each practice &amp; also standardised for list size to allow comparisons.</w:t>
            </w:r>
          </w:p>
          <w:p w:rsidR="00961215" w:rsidRDefault="00961215" w:rsidP="00961215">
            <w:pPr>
              <w:rPr>
                <w:rFonts w:ascii="Arial" w:hAnsi="Arial" w:cs="Arial"/>
                <w:color w:val="000000"/>
                <w:sz w:val="22"/>
                <w:szCs w:val="22"/>
                <w:lang w:val="en-GB"/>
              </w:rPr>
            </w:pPr>
            <w:r>
              <w:rPr>
                <w:rFonts w:ascii="Arial" w:hAnsi="Arial" w:cs="Arial"/>
                <w:color w:val="000000"/>
                <w:sz w:val="22"/>
                <w:szCs w:val="22"/>
                <w:lang w:val="en-GB"/>
              </w:rPr>
              <w:t xml:space="preserve">Consideration to be given to numbers of </w:t>
            </w:r>
            <w:r>
              <w:rPr>
                <w:rFonts w:ascii="Arial" w:hAnsi="Arial" w:cs="Arial"/>
                <w:color w:val="000000"/>
                <w:sz w:val="22"/>
                <w:szCs w:val="22"/>
                <w:lang w:val="en-GB"/>
              </w:rPr>
              <w:lastRenderedPageBreak/>
              <w:t>patients assessed as not having clinical evidence of UTI &amp; not being prescribed antimicrobials.</w:t>
            </w:r>
          </w:p>
          <w:p w:rsidR="00961215" w:rsidRDefault="00961215">
            <w:pPr>
              <w:rPr>
                <w:rFonts w:ascii="Arial" w:hAnsi="Arial" w:cs="Arial"/>
                <w:color w:val="000000"/>
                <w:sz w:val="22"/>
                <w:szCs w:val="22"/>
                <w:lang w:val="en-GB"/>
              </w:rPr>
            </w:pPr>
          </w:p>
          <w:p w:rsidR="00743FC6" w:rsidRDefault="00743FC6">
            <w:pPr>
              <w:rPr>
                <w:rFonts w:ascii="Arial" w:hAnsi="Arial" w:cs="Arial"/>
                <w:color w:val="000000"/>
                <w:sz w:val="22"/>
                <w:szCs w:val="22"/>
                <w:lang w:val="en-GB"/>
              </w:rPr>
            </w:pPr>
          </w:p>
        </w:tc>
        <w:tc>
          <w:tcPr>
            <w:tcW w:w="638" w:type="pct"/>
            <w:vMerge w:val="restart"/>
          </w:tcPr>
          <w:p w:rsidR="00961215" w:rsidRDefault="00961215">
            <w:pPr>
              <w:rPr>
                <w:rFonts w:ascii="Arial" w:hAnsi="Arial" w:cs="Arial"/>
                <w:color w:val="000000"/>
                <w:sz w:val="22"/>
                <w:szCs w:val="22"/>
                <w:lang w:val="en-GB"/>
              </w:rPr>
            </w:pPr>
            <w:r>
              <w:rPr>
                <w:rFonts w:ascii="Arial" w:hAnsi="Arial" w:cs="Arial"/>
                <w:color w:val="000000"/>
                <w:sz w:val="22"/>
                <w:szCs w:val="22"/>
                <w:lang w:val="en-GB"/>
              </w:rPr>
              <w:lastRenderedPageBreak/>
              <w:t>All antimicrobial prescribing for care home residents to be clearly indicated and appropriate in respect of current Pan-Mersey antimicrobial guidelines, NICE Guidelines etc.</w:t>
            </w:r>
          </w:p>
          <w:p w:rsidR="00961215" w:rsidRDefault="00961215">
            <w:pPr>
              <w:rPr>
                <w:rFonts w:ascii="Arial" w:hAnsi="Arial" w:cs="Arial"/>
                <w:color w:val="000000"/>
                <w:sz w:val="22"/>
                <w:szCs w:val="22"/>
                <w:lang w:val="en-GB"/>
              </w:rPr>
            </w:pPr>
          </w:p>
          <w:p w:rsidR="00961215" w:rsidRDefault="00961215">
            <w:pPr>
              <w:rPr>
                <w:rFonts w:ascii="Arial" w:hAnsi="Arial" w:cs="Arial"/>
                <w:color w:val="000000"/>
                <w:sz w:val="22"/>
                <w:szCs w:val="22"/>
                <w:lang w:val="en-GB"/>
              </w:rPr>
            </w:pPr>
            <w:r>
              <w:rPr>
                <w:rFonts w:ascii="Arial" w:hAnsi="Arial" w:cs="Arial"/>
                <w:color w:val="000000"/>
                <w:sz w:val="22"/>
                <w:szCs w:val="22"/>
                <w:lang w:val="en-GB"/>
              </w:rPr>
              <w:t xml:space="preserve">Reflective learning by prescribers &amp; </w:t>
            </w:r>
            <w:r>
              <w:rPr>
                <w:rFonts w:ascii="Arial" w:hAnsi="Arial" w:cs="Arial"/>
                <w:color w:val="000000"/>
                <w:sz w:val="22"/>
                <w:szCs w:val="22"/>
                <w:lang w:val="en-GB"/>
              </w:rPr>
              <w:lastRenderedPageBreak/>
              <w:t>benchmarking against peer group.</w:t>
            </w:r>
          </w:p>
          <w:p w:rsidR="00961215" w:rsidRDefault="00961215">
            <w:pPr>
              <w:rPr>
                <w:rFonts w:ascii="Arial" w:hAnsi="Arial" w:cs="Arial"/>
                <w:color w:val="000000"/>
                <w:sz w:val="22"/>
                <w:szCs w:val="22"/>
                <w:lang w:val="en-GB"/>
              </w:rPr>
            </w:pPr>
          </w:p>
          <w:p w:rsidR="00961215" w:rsidRDefault="00961215">
            <w:pPr>
              <w:rPr>
                <w:rFonts w:ascii="Arial" w:hAnsi="Arial" w:cs="Arial"/>
                <w:color w:val="000000"/>
                <w:sz w:val="22"/>
                <w:szCs w:val="22"/>
                <w:lang w:val="en-GB"/>
              </w:rPr>
            </w:pPr>
          </w:p>
          <w:p w:rsidR="00961215" w:rsidRDefault="00961215">
            <w:pPr>
              <w:rPr>
                <w:rFonts w:ascii="Arial" w:hAnsi="Arial" w:cs="Arial"/>
                <w:color w:val="000000"/>
                <w:sz w:val="22"/>
                <w:szCs w:val="22"/>
                <w:lang w:val="en-GB"/>
              </w:rPr>
            </w:pPr>
            <w:r>
              <w:rPr>
                <w:rFonts w:ascii="Arial" w:hAnsi="Arial" w:cs="Arial"/>
                <w:color w:val="000000"/>
                <w:sz w:val="22"/>
                <w:szCs w:val="22"/>
                <w:lang w:val="en-GB"/>
              </w:rPr>
              <w:t xml:space="preserve"> </w:t>
            </w:r>
          </w:p>
          <w:p w:rsidR="00961215" w:rsidRDefault="00961215">
            <w:pPr>
              <w:rPr>
                <w:rFonts w:ascii="Arial" w:hAnsi="Arial" w:cs="Arial"/>
                <w:color w:val="000000"/>
                <w:sz w:val="22"/>
                <w:szCs w:val="22"/>
                <w:lang w:val="en-GB"/>
              </w:rPr>
            </w:pPr>
          </w:p>
          <w:p w:rsidR="00961215" w:rsidRDefault="00961215">
            <w:pPr>
              <w:rPr>
                <w:rFonts w:ascii="Arial" w:hAnsi="Arial" w:cs="Arial"/>
                <w:color w:val="000000"/>
                <w:sz w:val="22"/>
                <w:szCs w:val="22"/>
                <w:lang w:val="en-GB"/>
              </w:rPr>
            </w:pPr>
          </w:p>
          <w:p w:rsidR="00961215" w:rsidRDefault="00961215" w:rsidP="00961215">
            <w:pPr>
              <w:rPr>
                <w:rFonts w:ascii="Arial" w:hAnsi="Arial" w:cs="Arial"/>
                <w:color w:val="000000"/>
                <w:sz w:val="22"/>
                <w:szCs w:val="22"/>
                <w:lang w:val="en-GB"/>
              </w:rPr>
            </w:pPr>
            <w:r>
              <w:rPr>
                <w:rFonts w:ascii="Arial" w:hAnsi="Arial" w:cs="Arial"/>
                <w:color w:val="000000"/>
                <w:sz w:val="22"/>
                <w:szCs w:val="22"/>
                <w:lang w:val="en-GB"/>
              </w:rPr>
              <w:t>All antimicrobial prescribing for potential UTI to be clearly indicated and appropriate in respect of current Pan-Mersey antimicrobial guidelines, NICE Guidelines etc.</w:t>
            </w:r>
          </w:p>
          <w:p w:rsidR="00961215" w:rsidRDefault="00961215" w:rsidP="00961215">
            <w:pPr>
              <w:rPr>
                <w:rFonts w:ascii="Arial" w:hAnsi="Arial" w:cs="Arial"/>
                <w:color w:val="000000"/>
                <w:sz w:val="22"/>
                <w:szCs w:val="22"/>
                <w:lang w:val="en-GB"/>
              </w:rPr>
            </w:pPr>
          </w:p>
          <w:p w:rsidR="00961215" w:rsidRDefault="00961215" w:rsidP="00961215">
            <w:pPr>
              <w:rPr>
                <w:rFonts w:ascii="Arial" w:hAnsi="Arial" w:cs="Arial"/>
                <w:color w:val="000000"/>
                <w:sz w:val="22"/>
                <w:szCs w:val="22"/>
                <w:lang w:val="en-GB"/>
              </w:rPr>
            </w:pPr>
            <w:r>
              <w:rPr>
                <w:rFonts w:ascii="Arial" w:hAnsi="Arial" w:cs="Arial"/>
                <w:color w:val="000000"/>
                <w:sz w:val="22"/>
                <w:szCs w:val="22"/>
                <w:lang w:val="en-GB"/>
              </w:rPr>
              <w:t>Reflective learning by prescribers &amp; benchmarking against peer group.</w:t>
            </w:r>
          </w:p>
        </w:tc>
        <w:tc>
          <w:tcPr>
            <w:tcW w:w="915" w:type="pct"/>
            <w:gridSpan w:val="2"/>
            <w:vMerge w:val="restart"/>
            <w:shd w:val="clear" w:color="auto" w:fill="auto"/>
          </w:tcPr>
          <w:p w:rsidR="00961215" w:rsidRDefault="00961215">
            <w:pPr>
              <w:rPr>
                <w:rFonts w:ascii="Arial" w:hAnsi="Arial" w:cs="Arial"/>
                <w:color w:val="000000"/>
                <w:sz w:val="22"/>
                <w:szCs w:val="22"/>
              </w:rPr>
            </w:pPr>
            <w:r>
              <w:rPr>
                <w:rFonts w:ascii="Arial" w:hAnsi="Arial" w:cs="Arial"/>
                <w:color w:val="000000"/>
                <w:sz w:val="22"/>
                <w:szCs w:val="22"/>
              </w:rPr>
              <w:lastRenderedPageBreak/>
              <w:t>Indirect savings from reduced C difficile infection &amp; related costs.</w:t>
            </w:r>
          </w:p>
          <w:p w:rsidR="00961215" w:rsidRDefault="00961215">
            <w:pPr>
              <w:rPr>
                <w:rFonts w:ascii="Arial" w:hAnsi="Arial" w:cs="Arial"/>
                <w:color w:val="000000"/>
                <w:sz w:val="18"/>
                <w:szCs w:val="22"/>
              </w:rPr>
            </w:pPr>
          </w:p>
          <w:p w:rsidR="00961215" w:rsidRDefault="00961215">
            <w:pPr>
              <w:rPr>
                <w:rFonts w:ascii="Arial" w:hAnsi="Arial" w:cs="Arial"/>
                <w:color w:val="000000"/>
                <w:sz w:val="22"/>
                <w:szCs w:val="22"/>
              </w:rPr>
            </w:pPr>
            <w:r>
              <w:rPr>
                <w:rFonts w:ascii="Arial" w:hAnsi="Arial" w:cs="Arial"/>
                <w:color w:val="000000"/>
                <w:sz w:val="22"/>
                <w:szCs w:val="22"/>
              </w:rPr>
              <w:t>Clinical audit of quality of care and prescribing to reduce clinical risk.</w:t>
            </w:r>
          </w:p>
          <w:p w:rsidR="00961215" w:rsidRDefault="00961215">
            <w:pPr>
              <w:rPr>
                <w:rFonts w:ascii="Arial" w:hAnsi="Arial" w:cs="Arial"/>
                <w:color w:val="000000"/>
                <w:sz w:val="18"/>
                <w:szCs w:val="22"/>
              </w:rPr>
            </w:pPr>
          </w:p>
          <w:p w:rsidR="00961215" w:rsidRDefault="00961215">
            <w:pPr>
              <w:rPr>
                <w:rFonts w:ascii="Arial" w:hAnsi="Arial" w:cs="Arial"/>
                <w:color w:val="000000"/>
                <w:sz w:val="22"/>
                <w:szCs w:val="22"/>
              </w:rPr>
            </w:pPr>
            <w:r>
              <w:rPr>
                <w:rFonts w:ascii="Arial" w:hAnsi="Arial" w:cs="Arial"/>
                <w:color w:val="000000"/>
                <w:sz w:val="22"/>
                <w:szCs w:val="22"/>
              </w:rPr>
              <w:t>Results and learning outcomes to form part of a locality peer review.</w:t>
            </w:r>
          </w:p>
          <w:p w:rsidR="00961215" w:rsidRDefault="00961215">
            <w:pPr>
              <w:rPr>
                <w:rFonts w:ascii="Arial" w:hAnsi="Arial" w:cs="Arial"/>
                <w:color w:val="000000"/>
                <w:sz w:val="18"/>
                <w:szCs w:val="22"/>
              </w:rPr>
            </w:pPr>
          </w:p>
          <w:p w:rsidR="00961215" w:rsidRDefault="00961215">
            <w:pPr>
              <w:rPr>
                <w:rFonts w:ascii="Arial" w:hAnsi="Arial" w:cs="Arial"/>
                <w:color w:val="000000"/>
                <w:sz w:val="22"/>
                <w:szCs w:val="22"/>
              </w:rPr>
            </w:pPr>
          </w:p>
          <w:p w:rsidR="00961215" w:rsidRDefault="00961215">
            <w:pPr>
              <w:rPr>
                <w:rFonts w:ascii="Arial" w:hAnsi="Arial" w:cs="Arial"/>
                <w:color w:val="000000"/>
                <w:sz w:val="22"/>
                <w:szCs w:val="22"/>
              </w:rPr>
            </w:pPr>
          </w:p>
          <w:p w:rsidR="00961215" w:rsidRDefault="00961215">
            <w:pPr>
              <w:rPr>
                <w:rFonts w:ascii="Arial" w:hAnsi="Arial" w:cs="Arial"/>
                <w:color w:val="000000"/>
                <w:sz w:val="22"/>
                <w:szCs w:val="22"/>
              </w:rPr>
            </w:pPr>
          </w:p>
          <w:p w:rsidR="00961215" w:rsidRDefault="00961215">
            <w:pPr>
              <w:rPr>
                <w:rFonts w:ascii="Arial" w:hAnsi="Arial" w:cs="Arial"/>
                <w:color w:val="000000"/>
                <w:sz w:val="22"/>
                <w:szCs w:val="22"/>
              </w:rPr>
            </w:pPr>
          </w:p>
          <w:p w:rsidR="00961215" w:rsidRDefault="00961215">
            <w:pPr>
              <w:rPr>
                <w:rFonts w:ascii="Arial" w:hAnsi="Arial" w:cs="Arial"/>
                <w:color w:val="000000"/>
                <w:sz w:val="22"/>
                <w:szCs w:val="22"/>
              </w:rPr>
            </w:pPr>
          </w:p>
          <w:p w:rsidR="00961215" w:rsidRDefault="00961215">
            <w:pPr>
              <w:rPr>
                <w:rFonts w:ascii="Arial" w:hAnsi="Arial" w:cs="Arial"/>
                <w:color w:val="000000"/>
                <w:sz w:val="22"/>
                <w:szCs w:val="22"/>
              </w:rPr>
            </w:pPr>
          </w:p>
          <w:p w:rsidR="00961215" w:rsidRDefault="00961215">
            <w:pPr>
              <w:rPr>
                <w:rFonts w:ascii="Arial" w:hAnsi="Arial" w:cs="Arial"/>
                <w:color w:val="000000"/>
                <w:sz w:val="22"/>
                <w:szCs w:val="22"/>
              </w:rPr>
            </w:pPr>
          </w:p>
          <w:p w:rsidR="00961215" w:rsidRDefault="00961215">
            <w:pPr>
              <w:rPr>
                <w:rFonts w:ascii="Arial" w:hAnsi="Arial" w:cs="Arial"/>
                <w:color w:val="000000"/>
                <w:sz w:val="22"/>
                <w:szCs w:val="22"/>
              </w:rPr>
            </w:pPr>
          </w:p>
          <w:p w:rsidR="00961215" w:rsidRDefault="00961215">
            <w:pPr>
              <w:rPr>
                <w:rFonts w:ascii="Arial" w:hAnsi="Arial" w:cs="Arial"/>
                <w:color w:val="000000"/>
                <w:sz w:val="22"/>
                <w:szCs w:val="22"/>
              </w:rPr>
            </w:pPr>
          </w:p>
          <w:p w:rsidR="00961215" w:rsidRDefault="00961215">
            <w:pPr>
              <w:rPr>
                <w:rFonts w:ascii="Arial" w:hAnsi="Arial" w:cs="Arial"/>
                <w:color w:val="000000"/>
                <w:sz w:val="22"/>
                <w:szCs w:val="22"/>
              </w:rPr>
            </w:pPr>
          </w:p>
          <w:p w:rsidR="00961215" w:rsidRDefault="00961215">
            <w:pPr>
              <w:rPr>
                <w:rFonts w:ascii="Arial" w:hAnsi="Arial" w:cs="Arial"/>
                <w:color w:val="000000"/>
                <w:sz w:val="22"/>
                <w:szCs w:val="22"/>
              </w:rPr>
            </w:pPr>
          </w:p>
          <w:p w:rsidR="00961215" w:rsidRDefault="00961215">
            <w:pPr>
              <w:rPr>
                <w:rFonts w:ascii="Arial" w:hAnsi="Arial" w:cs="Arial"/>
                <w:color w:val="000000"/>
                <w:sz w:val="22"/>
                <w:szCs w:val="22"/>
              </w:rPr>
            </w:pPr>
          </w:p>
          <w:p w:rsidR="00961215" w:rsidRDefault="00961215">
            <w:pPr>
              <w:rPr>
                <w:rFonts w:ascii="Arial" w:hAnsi="Arial" w:cs="Arial"/>
                <w:color w:val="000000"/>
                <w:sz w:val="22"/>
                <w:szCs w:val="22"/>
              </w:rPr>
            </w:pPr>
          </w:p>
          <w:p w:rsidR="00961215" w:rsidRDefault="00961215">
            <w:pPr>
              <w:rPr>
                <w:rFonts w:ascii="Arial" w:hAnsi="Arial" w:cs="Arial"/>
                <w:color w:val="000000"/>
                <w:sz w:val="22"/>
                <w:szCs w:val="22"/>
              </w:rPr>
            </w:pPr>
          </w:p>
          <w:p w:rsidR="00961215" w:rsidRDefault="00961215" w:rsidP="00961215">
            <w:pPr>
              <w:rPr>
                <w:rFonts w:ascii="Arial" w:hAnsi="Arial" w:cs="Arial"/>
                <w:color w:val="000000"/>
                <w:sz w:val="22"/>
                <w:szCs w:val="22"/>
              </w:rPr>
            </w:pPr>
            <w:r>
              <w:rPr>
                <w:rFonts w:ascii="Arial" w:hAnsi="Arial" w:cs="Arial"/>
                <w:color w:val="000000"/>
                <w:sz w:val="22"/>
                <w:szCs w:val="22"/>
              </w:rPr>
              <w:t>Clinical audit of quality of care and prescribing to reduce clinical risk.</w:t>
            </w:r>
          </w:p>
          <w:p w:rsidR="00961215" w:rsidRDefault="00961215" w:rsidP="00961215">
            <w:pPr>
              <w:rPr>
                <w:rFonts w:ascii="Arial" w:hAnsi="Arial" w:cs="Arial"/>
                <w:color w:val="000000"/>
                <w:sz w:val="18"/>
                <w:szCs w:val="22"/>
              </w:rPr>
            </w:pPr>
          </w:p>
          <w:p w:rsidR="00961215" w:rsidRDefault="00961215" w:rsidP="00961215">
            <w:pPr>
              <w:rPr>
                <w:rFonts w:ascii="Arial" w:hAnsi="Arial" w:cs="Arial"/>
                <w:color w:val="000000"/>
                <w:sz w:val="22"/>
                <w:szCs w:val="22"/>
              </w:rPr>
            </w:pPr>
            <w:r>
              <w:rPr>
                <w:rFonts w:ascii="Arial" w:hAnsi="Arial" w:cs="Arial"/>
                <w:color w:val="000000"/>
                <w:sz w:val="22"/>
                <w:szCs w:val="22"/>
              </w:rPr>
              <w:t>Results and learning outcomes to form part of a locality peer review.</w:t>
            </w:r>
          </w:p>
          <w:p w:rsidR="00961215" w:rsidRPr="00961215" w:rsidRDefault="00961215" w:rsidP="00961215">
            <w:pPr>
              <w:rPr>
                <w:rFonts w:ascii="Arial" w:hAnsi="Arial" w:cs="Arial"/>
                <w:color w:val="FF0000"/>
                <w:sz w:val="22"/>
                <w:szCs w:val="22"/>
                <w:lang w:val="en-GB"/>
              </w:rPr>
            </w:pPr>
          </w:p>
          <w:p w:rsidR="00961215" w:rsidRPr="00961215" w:rsidRDefault="00961215" w:rsidP="00961215">
            <w:pPr>
              <w:rPr>
                <w:rFonts w:ascii="Arial" w:hAnsi="Arial" w:cs="Arial"/>
                <w:b/>
                <w:color w:val="000000"/>
                <w:sz w:val="22"/>
                <w:szCs w:val="22"/>
              </w:rPr>
            </w:pPr>
            <w:r w:rsidRPr="00846B1D">
              <w:rPr>
                <w:rFonts w:ascii="Arial" w:hAnsi="Arial" w:cs="Arial"/>
                <w:b/>
                <w:color w:val="000000" w:themeColor="text1"/>
                <w:sz w:val="22"/>
                <w:szCs w:val="22"/>
                <w:lang w:val="en-GB"/>
              </w:rPr>
              <w:t>THIS AUDIT IS AN ALTERNATIVE TO THE CARE HOME AUDIT FOR THOSE PRACTICES WITH LOW NUMBERS / NO CARE HOME PATIENTS ON THE LIST</w:t>
            </w:r>
          </w:p>
        </w:tc>
        <w:tc>
          <w:tcPr>
            <w:tcW w:w="484" w:type="pct"/>
            <w:vMerge w:val="restart"/>
          </w:tcPr>
          <w:p w:rsidR="00961215" w:rsidRDefault="00961215">
            <w:pPr>
              <w:rPr>
                <w:rFonts w:ascii="Arial" w:hAnsi="Arial" w:cs="Arial"/>
                <w:color w:val="000000"/>
                <w:sz w:val="22"/>
                <w:szCs w:val="22"/>
              </w:rPr>
            </w:pPr>
            <w:r>
              <w:rPr>
                <w:rFonts w:ascii="Arial" w:hAnsi="Arial" w:cs="Arial"/>
                <w:color w:val="000000"/>
                <w:sz w:val="22"/>
                <w:szCs w:val="22"/>
              </w:rPr>
              <w:lastRenderedPageBreak/>
              <w:t>5</w:t>
            </w:r>
          </w:p>
        </w:tc>
        <w:tc>
          <w:tcPr>
            <w:tcW w:w="601" w:type="pct"/>
            <w:vMerge w:val="restart"/>
          </w:tcPr>
          <w:p w:rsidR="00961215" w:rsidRDefault="00961215">
            <w:pPr>
              <w:rPr>
                <w:rFonts w:ascii="Arial" w:hAnsi="Arial" w:cs="Arial"/>
                <w:color w:val="000000"/>
                <w:sz w:val="22"/>
                <w:szCs w:val="22"/>
              </w:rPr>
            </w:pPr>
            <w:r>
              <w:rPr>
                <w:rFonts w:ascii="Arial" w:hAnsi="Arial" w:cs="Arial"/>
                <w:color w:val="000000"/>
                <w:sz w:val="22"/>
                <w:szCs w:val="22"/>
              </w:rPr>
              <w:t>2 and 6</w:t>
            </w:r>
          </w:p>
        </w:tc>
      </w:tr>
      <w:tr w:rsidR="00961215" w:rsidRPr="00733E3A" w:rsidTr="00961215">
        <w:trPr>
          <w:trHeight w:val="3472"/>
        </w:trPr>
        <w:tc>
          <w:tcPr>
            <w:tcW w:w="686" w:type="pct"/>
            <w:shd w:val="clear" w:color="auto" w:fill="auto"/>
            <w:vAlign w:val="center"/>
          </w:tcPr>
          <w:p w:rsidR="00961215" w:rsidRPr="00024964" w:rsidRDefault="00961215" w:rsidP="0092037E">
            <w:pPr>
              <w:jc w:val="center"/>
              <w:rPr>
                <w:rFonts w:ascii="Arial" w:hAnsi="Arial" w:cs="Arial"/>
                <w:color w:val="000000"/>
                <w:sz w:val="22"/>
                <w:szCs w:val="22"/>
                <w:lang w:val="en-GB"/>
              </w:rPr>
            </w:pPr>
          </w:p>
        </w:tc>
        <w:tc>
          <w:tcPr>
            <w:tcW w:w="1023" w:type="pct"/>
            <w:shd w:val="clear" w:color="auto" w:fill="auto"/>
          </w:tcPr>
          <w:p w:rsidR="00961215" w:rsidRDefault="00961215" w:rsidP="00961215">
            <w:pPr>
              <w:pStyle w:val="Default"/>
              <w:rPr>
                <w:sz w:val="22"/>
                <w:szCs w:val="22"/>
              </w:rPr>
            </w:pPr>
            <w:r w:rsidRPr="000D2D9C">
              <w:rPr>
                <w:sz w:val="22"/>
                <w:szCs w:val="22"/>
              </w:rPr>
              <w:t xml:space="preserve">Local </w:t>
            </w:r>
            <w:proofErr w:type="spellStart"/>
            <w:r w:rsidRPr="000D2D9C">
              <w:rPr>
                <w:sz w:val="22"/>
                <w:szCs w:val="22"/>
              </w:rPr>
              <w:t>workstream</w:t>
            </w:r>
            <w:proofErr w:type="spellEnd"/>
            <w:r>
              <w:rPr>
                <w:sz w:val="22"/>
                <w:szCs w:val="22"/>
              </w:rPr>
              <w:t>.</w:t>
            </w:r>
          </w:p>
          <w:p w:rsidR="00961215" w:rsidRDefault="00961215" w:rsidP="00961215">
            <w:pPr>
              <w:pStyle w:val="Default"/>
              <w:rPr>
                <w:sz w:val="22"/>
                <w:szCs w:val="22"/>
              </w:rPr>
            </w:pPr>
          </w:p>
          <w:p w:rsidR="00961215" w:rsidRDefault="00961215" w:rsidP="00961215">
            <w:pPr>
              <w:pStyle w:val="Default"/>
              <w:rPr>
                <w:sz w:val="22"/>
                <w:szCs w:val="22"/>
              </w:rPr>
            </w:pPr>
            <w:r>
              <w:rPr>
                <w:sz w:val="22"/>
                <w:szCs w:val="22"/>
              </w:rPr>
              <w:t>Audit for one week in each quarter of any patient (male or female) over the age of 16 years, with a consultation including specified read codes for cystitis &amp; UTI</w:t>
            </w:r>
          </w:p>
          <w:p w:rsidR="00961215" w:rsidRDefault="00961215" w:rsidP="00961215">
            <w:pPr>
              <w:pStyle w:val="Default"/>
              <w:rPr>
                <w:sz w:val="22"/>
                <w:szCs w:val="22"/>
              </w:rPr>
            </w:pPr>
          </w:p>
          <w:p w:rsidR="00961215" w:rsidRDefault="00961215" w:rsidP="00961215">
            <w:pPr>
              <w:rPr>
                <w:rFonts w:ascii="Arial" w:hAnsi="Arial" w:cs="Arial"/>
                <w:color w:val="000000"/>
                <w:sz w:val="22"/>
                <w:szCs w:val="22"/>
                <w:lang w:val="en-GB"/>
              </w:rPr>
            </w:pPr>
            <w:r>
              <w:rPr>
                <w:rFonts w:ascii="Arial" w:hAnsi="Arial" w:cs="Arial"/>
                <w:color w:val="000000"/>
                <w:sz w:val="22"/>
                <w:szCs w:val="22"/>
                <w:lang w:val="en-GB"/>
              </w:rPr>
              <w:t xml:space="preserve">Audit of antimicrobial prescribing using consultation information, allergy status, culture &amp; sensitivity reports and secondary care information to assess the clinical indicators for and appropriateness of, </w:t>
            </w:r>
            <w:r>
              <w:rPr>
                <w:rFonts w:ascii="Arial" w:hAnsi="Arial" w:cs="Arial"/>
                <w:b/>
                <w:color w:val="000000"/>
                <w:sz w:val="22"/>
                <w:szCs w:val="22"/>
                <w:lang w:val="en-GB"/>
              </w:rPr>
              <w:t>any</w:t>
            </w:r>
            <w:r>
              <w:rPr>
                <w:rFonts w:ascii="Arial" w:hAnsi="Arial" w:cs="Arial"/>
                <w:color w:val="000000"/>
                <w:sz w:val="22"/>
                <w:szCs w:val="22"/>
                <w:lang w:val="en-GB"/>
              </w:rPr>
              <w:t xml:space="preserve"> antimicrobial treatment, </w:t>
            </w:r>
            <w:r>
              <w:rPr>
                <w:rFonts w:ascii="Arial" w:hAnsi="Arial" w:cs="Arial"/>
                <w:color w:val="000000"/>
                <w:sz w:val="22"/>
                <w:szCs w:val="22"/>
                <w:lang w:val="en-GB"/>
              </w:rPr>
              <w:lastRenderedPageBreak/>
              <w:t>including deferred prescription &amp; whether MSSU was sent &amp; reported.</w:t>
            </w:r>
          </w:p>
          <w:p w:rsidR="00961215" w:rsidRDefault="00961215" w:rsidP="00961215">
            <w:pPr>
              <w:pStyle w:val="Default"/>
              <w:rPr>
                <w:sz w:val="22"/>
                <w:szCs w:val="22"/>
              </w:rPr>
            </w:pPr>
          </w:p>
          <w:p w:rsidR="00961215" w:rsidRDefault="00961215" w:rsidP="00961215">
            <w:pPr>
              <w:pStyle w:val="Default"/>
              <w:rPr>
                <w:sz w:val="22"/>
                <w:szCs w:val="22"/>
              </w:rPr>
            </w:pPr>
            <w:r>
              <w:rPr>
                <w:sz w:val="22"/>
                <w:szCs w:val="22"/>
              </w:rPr>
              <w:t>Additionally, to review the choice of the specific medication, dose and duration of treatment with reference to the current Pan-Mersey antimicrobial guidelines, NICE guidance etc.</w:t>
            </w:r>
          </w:p>
        </w:tc>
        <w:tc>
          <w:tcPr>
            <w:tcW w:w="653" w:type="pct"/>
            <w:gridSpan w:val="3"/>
            <w:vMerge/>
          </w:tcPr>
          <w:p w:rsidR="00961215" w:rsidRDefault="00961215">
            <w:pPr>
              <w:rPr>
                <w:rFonts w:ascii="Arial" w:hAnsi="Arial" w:cs="Arial"/>
                <w:color w:val="000000"/>
                <w:sz w:val="22"/>
                <w:szCs w:val="22"/>
              </w:rPr>
            </w:pPr>
          </w:p>
        </w:tc>
        <w:tc>
          <w:tcPr>
            <w:tcW w:w="638" w:type="pct"/>
            <w:vMerge/>
          </w:tcPr>
          <w:p w:rsidR="00961215" w:rsidRDefault="00961215">
            <w:pPr>
              <w:rPr>
                <w:rFonts w:ascii="Arial" w:hAnsi="Arial" w:cs="Arial"/>
                <w:color w:val="000000"/>
                <w:sz w:val="22"/>
                <w:szCs w:val="22"/>
                <w:lang w:val="en-GB"/>
              </w:rPr>
            </w:pPr>
          </w:p>
        </w:tc>
        <w:tc>
          <w:tcPr>
            <w:tcW w:w="915" w:type="pct"/>
            <w:gridSpan w:val="2"/>
            <w:vMerge/>
            <w:shd w:val="clear" w:color="auto" w:fill="auto"/>
          </w:tcPr>
          <w:p w:rsidR="00961215" w:rsidRDefault="00961215">
            <w:pPr>
              <w:rPr>
                <w:rFonts w:ascii="Arial" w:hAnsi="Arial" w:cs="Arial"/>
                <w:color w:val="000000"/>
                <w:sz w:val="22"/>
                <w:szCs w:val="22"/>
              </w:rPr>
            </w:pPr>
          </w:p>
        </w:tc>
        <w:tc>
          <w:tcPr>
            <w:tcW w:w="484" w:type="pct"/>
            <w:vMerge/>
          </w:tcPr>
          <w:p w:rsidR="00961215" w:rsidRDefault="00961215">
            <w:pPr>
              <w:rPr>
                <w:rFonts w:ascii="Arial" w:hAnsi="Arial" w:cs="Arial"/>
                <w:color w:val="000000"/>
                <w:sz w:val="22"/>
                <w:szCs w:val="22"/>
              </w:rPr>
            </w:pPr>
          </w:p>
        </w:tc>
        <w:tc>
          <w:tcPr>
            <w:tcW w:w="601" w:type="pct"/>
            <w:vMerge/>
          </w:tcPr>
          <w:p w:rsidR="00961215" w:rsidRDefault="00961215">
            <w:pPr>
              <w:rPr>
                <w:rFonts w:ascii="Arial" w:hAnsi="Arial" w:cs="Arial"/>
                <w:color w:val="000000"/>
                <w:sz w:val="22"/>
                <w:szCs w:val="22"/>
              </w:rPr>
            </w:pPr>
          </w:p>
        </w:tc>
      </w:tr>
      <w:tr w:rsidR="00EA1F23" w:rsidRPr="00733E3A" w:rsidTr="00961215">
        <w:trPr>
          <w:trHeight w:val="27"/>
        </w:trPr>
        <w:tc>
          <w:tcPr>
            <w:tcW w:w="686" w:type="pct"/>
            <w:shd w:val="clear" w:color="auto" w:fill="auto"/>
            <w:vAlign w:val="center"/>
          </w:tcPr>
          <w:p w:rsidR="00EA1F23" w:rsidRPr="00024964" w:rsidRDefault="00EA1F23" w:rsidP="0092037E">
            <w:pPr>
              <w:jc w:val="center"/>
              <w:rPr>
                <w:rFonts w:ascii="Arial" w:hAnsi="Arial" w:cs="Arial"/>
                <w:color w:val="FF0000"/>
                <w:sz w:val="22"/>
                <w:szCs w:val="22"/>
                <w:highlight w:val="yellow"/>
                <w:lang w:val="en-GB"/>
              </w:rPr>
            </w:pPr>
            <w:r w:rsidRPr="00024964">
              <w:rPr>
                <w:rFonts w:ascii="Arial" w:hAnsi="Arial" w:cs="Arial"/>
                <w:sz w:val="22"/>
                <w:szCs w:val="22"/>
                <w:lang w:val="en-GB"/>
              </w:rPr>
              <w:lastRenderedPageBreak/>
              <w:t>RCGP prescribing safety indicators</w:t>
            </w:r>
          </w:p>
        </w:tc>
        <w:tc>
          <w:tcPr>
            <w:tcW w:w="1023" w:type="pct"/>
            <w:shd w:val="clear" w:color="auto" w:fill="auto"/>
          </w:tcPr>
          <w:p w:rsidR="00EA1F23" w:rsidRDefault="00EA1F23" w:rsidP="00787747">
            <w:pPr>
              <w:pStyle w:val="Default"/>
              <w:rPr>
                <w:sz w:val="22"/>
                <w:szCs w:val="22"/>
              </w:rPr>
            </w:pPr>
            <w:r>
              <w:rPr>
                <w:sz w:val="22"/>
                <w:szCs w:val="22"/>
              </w:rPr>
              <w:t>Complete the RCGP prescribing safety audits</w:t>
            </w:r>
          </w:p>
          <w:p w:rsidR="00EA1F23" w:rsidRPr="00A32BDC" w:rsidRDefault="00EA1F23" w:rsidP="00787747">
            <w:pPr>
              <w:pStyle w:val="Default"/>
              <w:numPr>
                <w:ilvl w:val="0"/>
                <w:numId w:val="1"/>
              </w:numPr>
              <w:rPr>
                <w:sz w:val="20"/>
                <w:szCs w:val="20"/>
              </w:rPr>
            </w:pPr>
            <w:r w:rsidRPr="00A32BDC">
              <w:rPr>
                <w:sz w:val="20"/>
                <w:szCs w:val="20"/>
              </w:rPr>
              <w:t>diltiazem/verapamil in a patient with heart failure</w:t>
            </w:r>
          </w:p>
          <w:p w:rsidR="00EA1F23" w:rsidRPr="00A32BDC" w:rsidRDefault="00EA1F23" w:rsidP="00787747">
            <w:pPr>
              <w:pStyle w:val="Default"/>
              <w:numPr>
                <w:ilvl w:val="0"/>
                <w:numId w:val="1"/>
              </w:numPr>
              <w:rPr>
                <w:sz w:val="20"/>
                <w:szCs w:val="20"/>
              </w:rPr>
            </w:pPr>
            <w:r w:rsidRPr="00A32BDC">
              <w:rPr>
                <w:sz w:val="20"/>
                <w:szCs w:val="20"/>
              </w:rPr>
              <w:t xml:space="preserve">NSAID in patient over 65 with a history of peptic ulceration without co-prescription of an ulcer healing drug </w:t>
            </w:r>
          </w:p>
          <w:p w:rsidR="00EA1F23" w:rsidRPr="00A32BDC" w:rsidRDefault="00EA1F23" w:rsidP="00787747">
            <w:pPr>
              <w:pStyle w:val="Default"/>
              <w:numPr>
                <w:ilvl w:val="0"/>
                <w:numId w:val="1"/>
              </w:numPr>
              <w:rPr>
                <w:sz w:val="20"/>
                <w:szCs w:val="20"/>
              </w:rPr>
            </w:pPr>
            <w:r w:rsidRPr="00A32BDC">
              <w:rPr>
                <w:sz w:val="20"/>
                <w:szCs w:val="20"/>
              </w:rPr>
              <w:t xml:space="preserve">amiodarone without a record of liver and thyroid function being measured in the previous 9 months </w:t>
            </w:r>
          </w:p>
          <w:p w:rsidR="00EA1F23" w:rsidRPr="00A32BDC" w:rsidRDefault="00EA1F23" w:rsidP="00787747">
            <w:pPr>
              <w:pStyle w:val="Default"/>
              <w:numPr>
                <w:ilvl w:val="0"/>
                <w:numId w:val="1"/>
              </w:numPr>
              <w:rPr>
                <w:sz w:val="20"/>
                <w:szCs w:val="20"/>
              </w:rPr>
            </w:pPr>
            <w:r w:rsidRPr="00A32BDC">
              <w:rPr>
                <w:sz w:val="20"/>
                <w:szCs w:val="20"/>
              </w:rPr>
              <w:t xml:space="preserve">warfarin in </w:t>
            </w:r>
            <w:r w:rsidRPr="00024964">
              <w:rPr>
                <w:color w:val="auto"/>
                <w:sz w:val="20"/>
                <w:szCs w:val="20"/>
              </w:rPr>
              <w:t>combination</w:t>
            </w:r>
            <w:r w:rsidRPr="00A32BDC">
              <w:rPr>
                <w:sz w:val="20"/>
                <w:szCs w:val="20"/>
              </w:rPr>
              <w:t xml:space="preserve"> with an NSAID </w:t>
            </w:r>
          </w:p>
          <w:p w:rsidR="00EA1F23" w:rsidRPr="00A32BDC" w:rsidRDefault="00EA1F23" w:rsidP="00787747">
            <w:pPr>
              <w:pStyle w:val="Default"/>
              <w:numPr>
                <w:ilvl w:val="0"/>
                <w:numId w:val="1"/>
              </w:numPr>
              <w:rPr>
                <w:sz w:val="20"/>
                <w:szCs w:val="20"/>
              </w:rPr>
            </w:pPr>
            <w:r w:rsidRPr="00A32BDC">
              <w:rPr>
                <w:sz w:val="20"/>
                <w:szCs w:val="20"/>
              </w:rPr>
              <w:lastRenderedPageBreak/>
              <w:t xml:space="preserve">phosphodiesterase type-5 </w:t>
            </w:r>
            <w:proofErr w:type="spellStart"/>
            <w:r w:rsidRPr="00A32BDC">
              <w:rPr>
                <w:sz w:val="20"/>
                <w:szCs w:val="20"/>
              </w:rPr>
              <w:t>inhibitor,e.g</w:t>
            </w:r>
            <w:proofErr w:type="spellEnd"/>
            <w:r w:rsidRPr="00A32BDC">
              <w:rPr>
                <w:sz w:val="20"/>
                <w:szCs w:val="20"/>
              </w:rPr>
              <w:t xml:space="preserve">. sildenafil, to a patient who is also receiving a nitrate or nicorandil </w:t>
            </w:r>
          </w:p>
          <w:p w:rsidR="00EA1F23" w:rsidRPr="00A32BDC" w:rsidRDefault="00EA1F23" w:rsidP="00787747">
            <w:pPr>
              <w:pStyle w:val="Default"/>
              <w:numPr>
                <w:ilvl w:val="0"/>
                <w:numId w:val="1"/>
              </w:numPr>
              <w:rPr>
                <w:sz w:val="20"/>
                <w:szCs w:val="20"/>
              </w:rPr>
            </w:pPr>
            <w:proofErr w:type="gramStart"/>
            <w:r w:rsidRPr="00A32BDC">
              <w:rPr>
                <w:sz w:val="20"/>
                <w:szCs w:val="20"/>
              </w:rPr>
              <w:t>erythromycin</w:t>
            </w:r>
            <w:proofErr w:type="gramEnd"/>
            <w:r w:rsidRPr="00A32BDC">
              <w:rPr>
                <w:sz w:val="20"/>
                <w:szCs w:val="20"/>
              </w:rPr>
              <w:t xml:space="preserve"> or clarithromycin to a patient who is also receiving simvastatin, with no evidence that the patient has been advised to stop the simvastatin whilst taking the antibiotic. </w:t>
            </w:r>
          </w:p>
          <w:p w:rsidR="00EA1F23" w:rsidRPr="00A32BDC" w:rsidRDefault="00EA1F23" w:rsidP="00787747">
            <w:pPr>
              <w:pStyle w:val="Default"/>
              <w:numPr>
                <w:ilvl w:val="0"/>
                <w:numId w:val="1"/>
              </w:numPr>
              <w:rPr>
                <w:sz w:val="20"/>
                <w:szCs w:val="20"/>
              </w:rPr>
            </w:pPr>
            <w:proofErr w:type="gramStart"/>
            <w:r w:rsidRPr="00A32BDC">
              <w:rPr>
                <w:sz w:val="20"/>
                <w:szCs w:val="20"/>
              </w:rPr>
              <w:t>potassium</w:t>
            </w:r>
            <w:proofErr w:type="gramEnd"/>
            <w:r w:rsidRPr="00A32BDC">
              <w:rPr>
                <w:sz w:val="20"/>
                <w:szCs w:val="20"/>
              </w:rPr>
              <w:t xml:space="preserve"> salt or potassium sparing diuretic (excluding aldosterone antagonists such as spironolactone to a patient who is also receiving an ACE inhibitor or ARB. </w:t>
            </w:r>
          </w:p>
          <w:p w:rsidR="00EA1F23" w:rsidRPr="00A32BDC" w:rsidRDefault="00EA1F23" w:rsidP="00787747">
            <w:pPr>
              <w:pStyle w:val="Default"/>
              <w:numPr>
                <w:ilvl w:val="0"/>
                <w:numId w:val="1"/>
              </w:numPr>
              <w:rPr>
                <w:sz w:val="20"/>
                <w:szCs w:val="20"/>
              </w:rPr>
            </w:pPr>
            <w:r w:rsidRPr="00A32BDC">
              <w:rPr>
                <w:sz w:val="20"/>
                <w:szCs w:val="20"/>
              </w:rPr>
              <w:t xml:space="preserve">verapamil to a patient who is also receiving a beta-blocker drug </w:t>
            </w:r>
          </w:p>
          <w:p w:rsidR="00EA1F23" w:rsidRDefault="00EA1F23" w:rsidP="00787747">
            <w:pPr>
              <w:pStyle w:val="Default"/>
              <w:rPr>
                <w:sz w:val="22"/>
                <w:szCs w:val="22"/>
              </w:rPr>
            </w:pPr>
          </w:p>
          <w:p w:rsidR="005A6A44" w:rsidRPr="00733E3A" w:rsidRDefault="005A6A44" w:rsidP="00787747">
            <w:pPr>
              <w:pStyle w:val="Default"/>
              <w:rPr>
                <w:sz w:val="22"/>
                <w:szCs w:val="22"/>
              </w:rPr>
            </w:pPr>
          </w:p>
        </w:tc>
        <w:tc>
          <w:tcPr>
            <w:tcW w:w="645" w:type="pct"/>
          </w:tcPr>
          <w:p w:rsidR="00EA1F23" w:rsidRPr="000A6F56" w:rsidRDefault="00EA1F23" w:rsidP="00C1616A">
            <w:pPr>
              <w:rPr>
                <w:rFonts w:ascii="Arial" w:hAnsi="Arial" w:cs="Arial"/>
                <w:color w:val="000000"/>
                <w:sz w:val="22"/>
                <w:szCs w:val="22"/>
                <w:highlight w:val="yellow"/>
              </w:rPr>
            </w:pPr>
            <w:r w:rsidRPr="00024964">
              <w:rPr>
                <w:rFonts w:ascii="Arial" w:hAnsi="Arial" w:cs="Arial"/>
                <w:color w:val="000000"/>
                <w:sz w:val="22"/>
                <w:szCs w:val="22"/>
              </w:rPr>
              <w:lastRenderedPageBreak/>
              <w:t>Review patients identified in audits</w:t>
            </w:r>
          </w:p>
        </w:tc>
        <w:tc>
          <w:tcPr>
            <w:tcW w:w="646" w:type="pct"/>
            <w:gridSpan w:val="3"/>
          </w:tcPr>
          <w:p w:rsidR="00EA1F23" w:rsidRPr="000A6F56" w:rsidRDefault="00EA1F23" w:rsidP="005D2185">
            <w:pPr>
              <w:rPr>
                <w:rFonts w:ascii="Arial" w:hAnsi="Arial" w:cs="Arial"/>
                <w:color w:val="000000"/>
                <w:sz w:val="22"/>
                <w:szCs w:val="22"/>
                <w:highlight w:val="yellow"/>
              </w:rPr>
            </w:pPr>
          </w:p>
        </w:tc>
        <w:tc>
          <w:tcPr>
            <w:tcW w:w="915" w:type="pct"/>
            <w:gridSpan w:val="2"/>
            <w:shd w:val="clear" w:color="auto" w:fill="auto"/>
          </w:tcPr>
          <w:p w:rsidR="00EA1F23" w:rsidRPr="000A6F56" w:rsidRDefault="00EA1F23" w:rsidP="00E16884">
            <w:pPr>
              <w:rPr>
                <w:rFonts w:ascii="Arial" w:hAnsi="Arial" w:cs="Arial"/>
                <w:color w:val="000000"/>
                <w:sz w:val="22"/>
                <w:szCs w:val="22"/>
                <w:highlight w:val="yellow"/>
              </w:rPr>
            </w:pPr>
          </w:p>
        </w:tc>
        <w:tc>
          <w:tcPr>
            <w:tcW w:w="484" w:type="pct"/>
            <w:shd w:val="clear" w:color="auto" w:fill="auto"/>
          </w:tcPr>
          <w:p w:rsidR="00EA1F23" w:rsidRPr="00310BFC" w:rsidRDefault="00EA1F23">
            <w:pPr>
              <w:rPr>
                <w:rFonts w:ascii="Arial" w:hAnsi="Arial" w:cs="Arial"/>
                <w:color w:val="000000"/>
                <w:sz w:val="22"/>
                <w:szCs w:val="22"/>
                <w:lang w:val="en-GB"/>
              </w:rPr>
            </w:pPr>
            <w:r w:rsidRPr="00310BFC">
              <w:rPr>
                <w:rFonts w:ascii="Arial" w:hAnsi="Arial" w:cs="Arial"/>
                <w:color w:val="000000"/>
                <w:sz w:val="22"/>
                <w:szCs w:val="22"/>
                <w:lang w:val="en-GB"/>
              </w:rPr>
              <w:t>5</w:t>
            </w:r>
          </w:p>
        </w:tc>
        <w:tc>
          <w:tcPr>
            <w:tcW w:w="601" w:type="pct"/>
          </w:tcPr>
          <w:p w:rsidR="00EA1F23" w:rsidRPr="00310BFC" w:rsidRDefault="003157EE">
            <w:pPr>
              <w:rPr>
                <w:rFonts w:ascii="Arial" w:hAnsi="Arial" w:cs="Arial"/>
                <w:color w:val="000000"/>
                <w:sz w:val="22"/>
                <w:szCs w:val="22"/>
                <w:lang w:val="en-GB"/>
              </w:rPr>
            </w:pPr>
            <w:r w:rsidRPr="00310BFC">
              <w:rPr>
                <w:rFonts w:ascii="Arial" w:hAnsi="Arial" w:cs="Arial"/>
                <w:color w:val="000000"/>
                <w:sz w:val="22"/>
                <w:szCs w:val="22"/>
                <w:lang w:val="en-GB"/>
              </w:rPr>
              <w:t>2 and 6</w:t>
            </w:r>
          </w:p>
        </w:tc>
      </w:tr>
      <w:tr w:rsidR="00EA1F23" w:rsidRPr="00733E3A" w:rsidTr="00961215">
        <w:trPr>
          <w:trHeight w:val="128"/>
        </w:trPr>
        <w:tc>
          <w:tcPr>
            <w:tcW w:w="686" w:type="pct"/>
            <w:shd w:val="clear" w:color="auto" w:fill="auto"/>
            <w:vAlign w:val="center"/>
          </w:tcPr>
          <w:p w:rsidR="00EA1F23" w:rsidRPr="00024964" w:rsidRDefault="00EA1F23" w:rsidP="00787747">
            <w:pPr>
              <w:jc w:val="center"/>
              <w:rPr>
                <w:rFonts w:ascii="Arial" w:hAnsi="Arial" w:cs="Arial"/>
                <w:lang w:val="en-GB"/>
              </w:rPr>
            </w:pPr>
            <w:r w:rsidRPr="00024964">
              <w:rPr>
                <w:rFonts w:ascii="Arial" w:hAnsi="Arial" w:cs="Arial"/>
                <w:sz w:val="22"/>
                <w:szCs w:val="22"/>
                <w:lang w:val="en-GB"/>
              </w:rPr>
              <w:lastRenderedPageBreak/>
              <w:t>Audit of NICE Diabetes guideline</w:t>
            </w:r>
          </w:p>
        </w:tc>
        <w:tc>
          <w:tcPr>
            <w:tcW w:w="1023" w:type="pct"/>
            <w:shd w:val="clear" w:color="auto" w:fill="auto"/>
          </w:tcPr>
          <w:p w:rsidR="00EA1F23" w:rsidRPr="00024964" w:rsidRDefault="00EA1F23" w:rsidP="00787747">
            <w:pPr>
              <w:pStyle w:val="Default"/>
              <w:rPr>
                <w:color w:val="auto"/>
                <w:sz w:val="22"/>
                <w:szCs w:val="22"/>
              </w:rPr>
            </w:pPr>
            <w:r w:rsidRPr="00024964">
              <w:rPr>
                <w:color w:val="auto"/>
                <w:sz w:val="22"/>
                <w:szCs w:val="22"/>
              </w:rPr>
              <w:t xml:space="preserve">Complete an audit of NICE CG 87 – The management of Type 2 </w:t>
            </w:r>
            <w:r w:rsidRPr="00024964">
              <w:rPr>
                <w:color w:val="auto"/>
                <w:sz w:val="22"/>
                <w:szCs w:val="22"/>
              </w:rPr>
              <w:lastRenderedPageBreak/>
              <w:t>diabetes</w:t>
            </w:r>
          </w:p>
        </w:tc>
        <w:tc>
          <w:tcPr>
            <w:tcW w:w="645" w:type="pct"/>
          </w:tcPr>
          <w:p w:rsidR="00EA1F23" w:rsidRPr="00024964" w:rsidRDefault="00EA1F23" w:rsidP="00787747">
            <w:pPr>
              <w:rPr>
                <w:rFonts w:ascii="Arial" w:hAnsi="Arial" w:cs="Arial"/>
                <w:color w:val="000000"/>
              </w:rPr>
            </w:pPr>
            <w:r w:rsidRPr="00024964">
              <w:rPr>
                <w:rFonts w:ascii="Arial" w:hAnsi="Arial" w:cs="Arial"/>
                <w:color w:val="000000"/>
                <w:sz w:val="22"/>
                <w:szCs w:val="22"/>
              </w:rPr>
              <w:lastRenderedPageBreak/>
              <w:t>Complete audit cycle</w:t>
            </w:r>
          </w:p>
        </w:tc>
        <w:tc>
          <w:tcPr>
            <w:tcW w:w="646" w:type="pct"/>
            <w:gridSpan w:val="3"/>
          </w:tcPr>
          <w:p w:rsidR="00EA1F23" w:rsidRPr="00024964" w:rsidRDefault="00EA1F23" w:rsidP="00787747">
            <w:pPr>
              <w:rPr>
                <w:rFonts w:ascii="Arial" w:hAnsi="Arial" w:cs="Arial"/>
                <w:color w:val="000000"/>
              </w:rPr>
            </w:pPr>
          </w:p>
        </w:tc>
        <w:tc>
          <w:tcPr>
            <w:tcW w:w="915" w:type="pct"/>
            <w:gridSpan w:val="2"/>
            <w:shd w:val="clear" w:color="auto" w:fill="auto"/>
          </w:tcPr>
          <w:p w:rsidR="00EA1F23" w:rsidRPr="00024964" w:rsidRDefault="00EA1F23" w:rsidP="00787747">
            <w:pPr>
              <w:rPr>
                <w:rFonts w:ascii="Arial" w:hAnsi="Arial" w:cs="Arial"/>
                <w:color w:val="000000"/>
                <w:lang w:val="en-GB"/>
              </w:rPr>
            </w:pPr>
            <w:r w:rsidRPr="00024964">
              <w:rPr>
                <w:rFonts w:ascii="Arial" w:hAnsi="Arial" w:cs="Arial"/>
                <w:color w:val="000000"/>
                <w:sz w:val="22"/>
                <w:szCs w:val="22"/>
                <w:lang w:val="en-GB"/>
              </w:rPr>
              <w:t>Not possible to quantify savings – quality / safety audit</w:t>
            </w:r>
          </w:p>
        </w:tc>
        <w:tc>
          <w:tcPr>
            <w:tcW w:w="484" w:type="pct"/>
            <w:shd w:val="clear" w:color="auto" w:fill="auto"/>
          </w:tcPr>
          <w:p w:rsidR="00EA1F23" w:rsidRPr="00733E3A" w:rsidRDefault="00EA1F23" w:rsidP="00BC55AE">
            <w:pPr>
              <w:rPr>
                <w:rFonts w:ascii="Arial" w:hAnsi="Arial" w:cs="Arial"/>
                <w:color w:val="000000"/>
                <w:sz w:val="22"/>
                <w:szCs w:val="22"/>
                <w:lang w:val="en-GB"/>
              </w:rPr>
            </w:pPr>
            <w:r>
              <w:rPr>
                <w:rFonts w:ascii="Arial" w:hAnsi="Arial" w:cs="Arial"/>
                <w:color w:val="000000"/>
                <w:sz w:val="22"/>
                <w:szCs w:val="22"/>
                <w:lang w:val="en-GB"/>
              </w:rPr>
              <w:t>2</w:t>
            </w:r>
          </w:p>
        </w:tc>
        <w:tc>
          <w:tcPr>
            <w:tcW w:w="601" w:type="pct"/>
          </w:tcPr>
          <w:p w:rsidR="00EA1F23" w:rsidRDefault="003157EE" w:rsidP="00BC55AE">
            <w:pPr>
              <w:rPr>
                <w:rFonts w:ascii="Arial" w:hAnsi="Arial" w:cs="Arial"/>
                <w:color w:val="000000"/>
                <w:sz w:val="22"/>
                <w:szCs w:val="22"/>
                <w:lang w:val="en-GB"/>
              </w:rPr>
            </w:pPr>
            <w:r>
              <w:rPr>
                <w:rFonts w:ascii="Arial" w:hAnsi="Arial" w:cs="Arial"/>
                <w:color w:val="000000"/>
                <w:sz w:val="22"/>
                <w:szCs w:val="22"/>
                <w:lang w:val="en-GB"/>
              </w:rPr>
              <w:t>2</w:t>
            </w:r>
          </w:p>
        </w:tc>
      </w:tr>
      <w:tr w:rsidR="00EA1F23" w:rsidRPr="00733E3A" w:rsidTr="00961215">
        <w:trPr>
          <w:trHeight w:val="127"/>
        </w:trPr>
        <w:tc>
          <w:tcPr>
            <w:tcW w:w="686" w:type="pct"/>
            <w:shd w:val="clear" w:color="auto" w:fill="auto"/>
            <w:vAlign w:val="center"/>
          </w:tcPr>
          <w:p w:rsidR="00EA1F23" w:rsidRPr="00024964" w:rsidRDefault="00EA1F23" w:rsidP="00787747">
            <w:pPr>
              <w:jc w:val="center"/>
              <w:rPr>
                <w:rFonts w:ascii="Arial" w:hAnsi="Arial" w:cs="Arial"/>
                <w:lang w:val="en-GB"/>
              </w:rPr>
            </w:pPr>
            <w:r w:rsidRPr="00024964">
              <w:rPr>
                <w:rFonts w:ascii="Arial" w:hAnsi="Arial" w:cs="Arial"/>
                <w:sz w:val="22"/>
                <w:szCs w:val="22"/>
                <w:lang w:val="en-GB"/>
              </w:rPr>
              <w:lastRenderedPageBreak/>
              <w:t>Audit of NICE AF guideline</w:t>
            </w:r>
          </w:p>
        </w:tc>
        <w:tc>
          <w:tcPr>
            <w:tcW w:w="1023" w:type="pct"/>
            <w:shd w:val="clear" w:color="auto" w:fill="auto"/>
          </w:tcPr>
          <w:p w:rsidR="00EA1F23" w:rsidRPr="00024964" w:rsidRDefault="00EA1F23" w:rsidP="00787747">
            <w:pPr>
              <w:pStyle w:val="Default"/>
              <w:rPr>
                <w:color w:val="auto"/>
                <w:sz w:val="22"/>
                <w:szCs w:val="22"/>
              </w:rPr>
            </w:pPr>
            <w:r w:rsidRPr="00024964">
              <w:rPr>
                <w:color w:val="auto"/>
                <w:sz w:val="22"/>
                <w:szCs w:val="22"/>
              </w:rPr>
              <w:t>Complete an audit of the updated NICE CG 36 on Atrial Fibrillation</w:t>
            </w:r>
          </w:p>
        </w:tc>
        <w:tc>
          <w:tcPr>
            <w:tcW w:w="645" w:type="pct"/>
          </w:tcPr>
          <w:p w:rsidR="00EA1F23" w:rsidRPr="00024964" w:rsidRDefault="00EA1F23" w:rsidP="00787747">
            <w:pPr>
              <w:rPr>
                <w:rFonts w:ascii="Arial" w:hAnsi="Arial" w:cs="Arial"/>
                <w:color w:val="000000"/>
              </w:rPr>
            </w:pPr>
            <w:r w:rsidRPr="00024964">
              <w:rPr>
                <w:rFonts w:ascii="Arial" w:hAnsi="Arial" w:cs="Arial"/>
                <w:color w:val="000000"/>
                <w:sz w:val="22"/>
                <w:szCs w:val="22"/>
              </w:rPr>
              <w:t>Complete audit cycle</w:t>
            </w:r>
          </w:p>
        </w:tc>
        <w:tc>
          <w:tcPr>
            <w:tcW w:w="646" w:type="pct"/>
            <w:gridSpan w:val="3"/>
          </w:tcPr>
          <w:p w:rsidR="00EA1F23" w:rsidRPr="00024964" w:rsidRDefault="00EA1F23" w:rsidP="00787747">
            <w:pPr>
              <w:rPr>
                <w:rFonts w:ascii="Arial" w:hAnsi="Arial" w:cs="Arial"/>
                <w:color w:val="000000"/>
              </w:rPr>
            </w:pPr>
          </w:p>
        </w:tc>
        <w:tc>
          <w:tcPr>
            <w:tcW w:w="915" w:type="pct"/>
            <w:gridSpan w:val="2"/>
            <w:shd w:val="clear" w:color="auto" w:fill="auto"/>
          </w:tcPr>
          <w:p w:rsidR="00EA1F23" w:rsidRPr="00024964" w:rsidRDefault="00EA1F23" w:rsidP="00787747">
            <w:pPr>
              <w:rPr>
                <w:rFonts w:ascii="Arial" w:hAnsi="Arial" w:cs="Arial"/>
                <w:color w:val="000000"/>
                <w:lang w:val="en-GB"/>
              </w:rPr>
            </w:pPr>
            <w:r w:rsidRPr="00024964">
              <w:rPr>
                <w:rFonts w:ascii="Arial" w:hAnsi="Arial" w:cs="Arial"/>
                <w:color w:val="000000"/>
                <w:sz w:val="22"/>
                <w:szCs w:val="22"/>
                <w:lang w:val="en-GB"/>
              </w:rPr>
              <w:t>Not possible to quantify savings – quality / safety audit</w:t>
            </w:r>
          </w:p>
        </w:tc>
        <w:tc>
          <w:tcPr>
            <w:tcW w:w="484" w:type="pct"/>
            <w:shd w:val="clear" w:color="auto" w:fill="auto"/>
          </w:tcPr>
          <w:p w:rsidR="00EA1F23" w:rsidRPr="00733E3A" w:rsidRDefault="00EA1F23" w:rsidP="00BC55AE">
            <w:pPr>
              <w:rPr>
                <w:rFonts w:ascii="Arial" w:hAnsi="Arial" w:cs="Arial"/>
                <w:color w:val="000000"/>
                <w:sz w:val="22"/>
                <w:szCs w:val="22"/>
                <w:lang w:val="en-GB"/>
              </w:rPr>
            </w:pPr>
            <w:r>
              <w:rPr>
                <w:rFonts w:ascii="Arial" w:hAnsi="Arial" w:cs="Arial"/>
                <w:color w:val="000000"/>
                <w:sz w:val="22"/>
                <w:szCs w:val="22"/>
                <w:lang w:val="en-GB"/>
              </w:rPr>
              <w:t>2</w:t>
            </w:r>
          </w:p>
        </w:tc>
        <w:tc>
          <w:tcPr>
            <w:tcW w:w="601" w:type="pct"/>
          </w:tcPr>
          <w:p w:rsidR="00EA1F23" w:rsidRDefault="003157EE" w:rsidP="00BC55AE">
            <w:pPr>
              <w:rPr>
                <w:rFonts w:ascii="Arial" w:hAnsi="Arial" w:cs="Arial"/>
                <w:color w:val="000000"/>
                <w:sz w:val="22"/>
                <w:szCs w:val="22"/>
                <w:lang w:val="en-GB"/>
              </w:rPr>
            </w:pPr>
            <w:r>
              <w:rPr>
                <w:rFonts w:ascii="Arial" w:hAnsi="Arial" w:cs="Arial"/>
                <w:color w:val="000000"/>
                <w:sz w:val="22"/>
                <w:szCs w:val="22"/>
                <w:lang w:val="en-GB"/>
              </w:rPr>
              <w:t>2</w:t>
            </w:r>
          </w:p>
        </w:tc>
      </w:tr>
      <w:tr w:rsidR="00EA1F23" w:rsidRPr="00733E3A" w:rsidTr="00961215">
        <w:trPr>
          <w:trHeight w:val="27"/>
        </w:trPr>
        <w:tc>
          <w:tcPr>
            <w:tcW w:w="686" w:type="pct"/>
            <w:shd w:val="clear" w:color="auto" w:fill="auto"/>
            <w:vAlign w:val="center"/>
          </w:tcPr>
          <w:p w:rsidR="00EA1F23" w:rsidRPr="00733E3A" w:rsidRDefault="00EA1F23" w:rsidP="0092037E">
            <w:pPr>
              <w:jc w:val="center"/>
              <w:rPr>
                <w:rFonts w:ascii="Arial" w:hAnsi="Arial" w:cs="Arial"/>
                <w:color w:val="000000"/>
                <w:sz w:val="22"/>
                <w:szCs w:val="22"/>
                <w:lang w:val="en-GB"/>
              </w:rPr>
            </w:pPr>
            <w:r w:rsidRPr="00733E3A">
              <w:rPr>
                <w:rFonts w:ascii="Arial" w:hAnsi="Arial" w:cs="Arial"/>
                <w:color w:val="000000"/>
                <w:sz w:val="22"/>
                <w:szCs w:val="22"/>
                <w:lang w:val="en-GB"/>
              </w:rPr>
              <w:t>Specials</w:t>
            </w:r>
          </w:p>
        </w:tc>
        <w:tc>
          <w:tcPr>
            <w:tcW w:w="1023" w:type="pct"/>
            <w:shd w:val="clear" w:color="auto" w:fill="auto"/>
          </w:tcPr>
          <w:p w:rsidR="00EA1F23" w:rsidRPr="00733E3A" w:rsidRDefault="00EA1F23" w:rsidP="00495C66">
            <w:pPr>
              <w:rPr>
                <w:rFonts w:ascii="Arial" w:hAnsi="Arial" w:cs="Arial"/>
                <w:color w:val="000000"/>
                <w:sz w:val="22"/>
                <w:szCs w:val="22"/>
                <w:lang w:val="en-GB"/>
              </w:rPr>
            </w:pPr>
            <w:r>
              <w:rPr>
                <w:rFonts w:ascii="Arial" w:hAnsi="Arial" w:cs="Arial"/>
                <w:color w:val="000000"/>
                <w:sz w:val="22"/>
                <w:szCs w:val="22"/>
                <w:lang w:val="en-GB"/>
              </w:rPr>
              <w:t xml:space="preserve">Local </w:t>
            </w:r>
            <w:proofErr w:type="spellStart"/>
            <w:r>
              <w:rPr>
                <w:rFonts w:ascii="Arial" w:hAnsi="Arial" w:cs="Arial"/>
                <w:color w:val="000000"/>
                <w:sz w:val="22"/>
                <w:szCs w:val="22"/>
                <w:lang w:val="en-GB"/>
              </w:rPr>
              <w:t>workstream</w:t>
            </w:r>
            <w:proofErr w:type="spellEnd"/>
            <w:r>
              <w:rPr>
                <w:rFonts w:ascii="Arial" w:hAnsi="Arial" w:cs="Arial"/>
                <w:color w:val="000000"/>
                <w:sz w:val="22"/>
                <w:szCs w:val="22"/>
                <w:lang w:val="en-GB"/>
              </w:rPr>
              <w:t>.  Review prescribing of special order products where possible to use a licensed product as an alternative</w:t>
            </w:r>
          </w:p>
        </w:tc>
        <w:tc>
          <w:tcPr>
            <w:tcW w:w="645" w:type="pct"/>
          </w:tcPr>
          <w:p w:rsidR="00EA1F23" w:rsidRPr="00B966EF" w:rsidRDefault="00EA1F23" w:rsidP="00106D5F">
            <w:pPr>
              <w:rPr>
                <w:rFonts w:ascii="Arial" w:hAnsi="Arial" w:cs="Arial"/>
                <w:color w:val="000000"/>
                <w:sz w:val="22"/>
                <w:szCs w:val="22"/>
              </w:rPr>
            </w:pPr>
            <w:r>
              <w:rPr>
                <w:rFonts w:ascii="Arial" w:hAnsi="Arial" w:cs="Arial"/>
                <w:color w:val="000000"/>
                <w:sz w:val="22"/>
                <w:szCs w:val="22"/>
              </w:rPr>
              <w:t xml:space="preserve">Items per item based ASTRO-PU (cost fluctuates too much to be used as an indicator). </w:t>
            </w:r>
          </w:p>
        </w:tc>
        <w:tc>
          <w:tcPr>
            <w:tcW w:w="646" w:type="pct"/>
            <w:gridSpan w:val="3"/>
          </w:tcPr>
          <w:p w:rsidR="00EA1F23" w:rsidRPr="00733E3A" w:rsidRDefault="00EA1F23" w:rsidP="005D2185">
            <w:pPr>
              <w:rPr>
                <w:rFonts w:ascii="Arial" w:hAnsi="Arial" w:cs="Arial"/>
                <w:color w:val="000000"/>
                <w:sz w:val="22"/>
                <w:szCs w:val="22"/>
              </w:rPr>
            </w:pPr>
          </w:p>
        </w:tc>
        <w:tc>
          <w:tcPr>
            <w:tcW w:w="915" w:type="pct"/>
            <w:gridSpan w:val="2"/>
            <w:shd w:val="clear" w:color="auto" w:fill="auto"/>
          </w:tcPr>
          <w:p w:rsidR="00EA1F23" w:rsidRPr="00733E3A" w:rsidRDefault="00EA1F23" w:rsidP="00495C66">
            <w:pPr>
              <w:rPr>
                <w:rFonts w:ascii="Arial" w:hAnsi="Arial" w:cs="Arial"/>
                <w:color w:val="000000"/>
                <w:sz w:val="22"/>
                <w:szCs w:val="22"/>
                <w:lang w:val="en-GB"/>
              </w:rPr>
            </w:pPr>
            <w:r>
              <w:rPr>
                <w:rFonts w:ascii="Arial" w:hAnsi="Arial" w:cs="Arial"/>
                <w:color w:val="000000"/>
                <w:sz w:val="22"/>
                <w:szCs w:val="22"/>
                <w:lang w:val="en-GB"/>
              </w:rPr>
              <w:t>Not possible to quantify savings</w:t>
            </w:r>
          </w:p>
        </w:tc>
        <w:tc>
          <w:tcPr>
            <w:tcW w:w="484" w:type="pct"/>
          </w:tcPr>
          <w:p w:rsidR="00EA1F23" w:rsidRDefault="00EA1F23" w:rsidP="00495C66">
            <w:pPr>
              <w:rPr>
                <w:rFonts w:ascii="Arial" w:hAnsi="Arial" w:cs="Arial"/>
                <w:color w:val="000000"/>
                <w:sz w:val="22"/>
                <w:szCs w:val="22"/>
                <w:lang w:val="en-GB"/>
              </w:rPr>
            </w:pPr>
            <w:r>
              <w:rPr>
                <w:rFonts w:ascii="Arial" w:hAnsi="Arial" w:cs="Arial"/>
                <w:color w:val="000000"/>
                <w:sz w:val="22"/>
                <w:szCs w:val="22"/>
                <w:lang w:val="en-GB"/>
              </w:rPr>
              <w:t>2 and 5</w:t>
            </w:r>
          </w:p>
        </w:tc>
        <w:tc>
          <w:tcPr>
            <w:tcW w:w="601" w:type="pct"/>
          </w:tcPr>
          <w:p w:rsidR="00EA1F23" w:rsidRDefault="003157EE" w:rsidP="00495C66">
            <w:pPr>
              <w:rPr>
                <w:rFonts w:ascii="Arial" w:hAnsi="Arial" w:cs="Arial"/>
                <w:color w:val="000000"/>
                <w:sz w:val="22"/>
                <w:szCs w:val="22"/>
                <w:lang w:val="en-GB"/>
              </w:rPr>
            </w:pPr>
            <w:r>
              <w:rPr>
                <w:rFonts w:ascii="Arial" w:hAnsi="Arial" w:cs="Arial"/>
                <w:color w:val="000000"/>
                <w:sz w:val="22"/>
                <w:szCs w:val="22"/>
                <w:lang w:val="en-GB"/>
              </w:rPr>
              <w:t>1, 2 and 4</w:t>
            </w:r>
          </w:p>
        </w:tc>
      </w:tr>
      <w:tr w:rsidR="00EA1F23" w:rsidRPr="007A036F" w:rsidTr="00961215">
        <w:trPr>
          <w:trHeight w:val="27"/>
        </w:trPr>
        <w:tc>
          <w:tcPr>
            <w:tcW w:w="686" w:type="pct"/>
            <w:shd w:val="clear" w:color="auto" w:fill="auto"/>
            <w:vAlign w:val="center"/>
          </w:tcPr>
          <w:p w:rsidR="00EA1F23" w:rsidRPr="007A036F" w:rsidRDefault="00EA1F23" w:rsidP="00787747">
            <w:pPr>
              <w:jc w:val="center"/>
              <w:rPr>
                <w:rFonts w:ascii="Arial" w:hAnsi="Arial" w:cs="Arial"/>
                <w:color w:val="000000"/>
                <w:sz w:val="22"/>
                <w:szCs w:val="22"/>
                <w:lang w:val="en-GB"/>
              </w:rPr>
            </w:pPr>
            <w:r w:rsidRPr="007A036F">
              <w:rPr>
                <w:rFonts w:ascii="Arial" w:hAnsi="Arial" w:cs="Arial"/>
                <w:sz w:val="22"/>
                <w:szCs w:val="22"/>
                <w:lang w:val="en-GB"/>
              </w:rPr>
              <w:t xml:space="preserve">Budget Optimisation </w:t>
            </w:r>
          </w:p>
        </w:tc>
        <w:tc>
          <w:tcPr>
            <w:tcW w:w="1023" w:type="pct"/>
            <w:shd w:val="clear" w:color="auto" w:fill="auto"/>
          </w:tcPr>
          <w:p w:rsidR="00EA1F23" w:rsidRPr="007A036F" w:rsidRDefault="00EA1F23" w:rsidP="00787747">
            <w:pPr>
              <w:rPr>
                <w:rFonts w:ascii="Arial" w:hAnsi="Arial" w:cs="Arial"/>
                <w:color w:val="000000"/>
                <w:sz w:val="22"/>
                <w:szCs w:val="22"/>
                <w:lang w:val="en-GB"/>
              </w:rPr>
            </w:pPr>
            <w:r w:rsidRPr="007A036F">
              <w:rPr>
                <w:rFonts w:ascii="Arial" w:hAnsi="Arial" w:cs="Arial"/>
                <w:color w:val="000000"/>
                <w:sz w:val="22"/>
                <w:szCs w:val="22"/>
                <w:lang w:val="en-GB"/>
              </w:rPr>
              <w:t>Generic switches, urology products being prescribed by GP practices, optimisation of pack sizes, grey list prescribing and cost savings identified elsewhere</w:t>
            </w:r>
          </w:p>
        </w:tc>
        <w:tc>
          <w:tcPr>
            <w:tcW w:w="645" w:type="pct"/>
          </w:tcPr>
          <w:p w:rsidR="00EA1F23" w:rsidRPr="007A036F" w:rsidRDefault="00EA1F23" w:rsidP="00787747">
            <w:pPr>
              <w:rPr>
                <w:rFonts w:ascii="Arial" w:hAnsi="Arial" w:cs="Arial"/>
                <w:color w:val="000000"/>
                <w:sz w:val="22"/>
                <w:szCs w:val="22"/>
              </w:rPr>
            </w:pPr>
            <w:r w:rsidRPr="007A036F">
              <w:rPr>
                <w:rFonts w:ascii="Arial" w:hAnsi="Arial" w:cs="Arial"/>
                <w:color w:val="000000"/>
                <w:sz w:val="22"/>
                <w:szCs w:val="22"/>
              </w:rPr>
              <w:t>Review &amp; action where possible</w:t>
            </w:r>
          </w:p>
        </w:tc>
        <w:tc>
          <w:tcPr>
            <w:tcW w:w="646" w:type="pct"/>
            <w:gridSpan w:val="3"/>
          </w:tcPr>
          <w:p w:rsidR="00EA1F23" w:rsidRPr="007A036F" w:rsidRDefault="00EA1F23" w:rsidP="00787747">
            <w:pPr>
              <w:rPr>
                <w:rFonts w:ascii="Arial" w:hAnsi="Arial" w:cs="Arial"/>
                <w:color w:val="000000"/>
                <w:sz w:val="22"/>
                <w:szCs w:val="22"/>
              </w:rPr>
            </w:pPr>
            <w:r w:rsidRPr="007A036F">
              <w:rPr>
                <w:rFonts w:ascii="Arial" w:hAnsi="Arial" w:cs="Arial"/>
                <w:color w:val="000000"/>
                <w:sz w:val="22"/>
                <w:szCs w:val="22"/>
              </w:rPr>
              <w:t>Reduced spending on these products</w:t>
            </w:r>
          </w:p>
        </w:tc>
        <w:tc>
          <w:tcPr>
            <w:tcW w:w="915" w:type="pct"/>
            <w:gridSpan w:val="2"/>
            <w:shd w:val="clear" w:color="auto" w:fill="auto"/>
          </w:tcPr>
          <w:p w:rsidR="00EA1F23" w:rsidRPr="007A036F" w:rsidRDefault="00EA1F23" w:rsidP="00787747">
            <w:pPr>
              <w:rPr>
                <w:rFonts w:ascii="Arial" w:hAnsi="Arial" w:cs="Arial"/>
                <w:color w:val="000000"/>
                <w:sz w:val="22"/>
                <w:szCs w:val="22"/>
                <w:lang w:val="en-GB"/>
              </w:rPr>
            </w:pPr>
            <w:r w:rsidRPr="007A036F">
              <w:rPr>
                <w:rFonts w:ascii="Arial" w:hAnsi="Arial" w:cs="Arial"/>
                <w:color w:val="000000"/>
                <w:sz w:val="22"/>
                <w:szCs w:val="22"/>
                <w:lang w:val="en-GB"/>
              </w:rPr>
              <w:t>Not possible to quantify</w:t>
            </w:r>
          </w:p>
        </w:tc>
        <w:tc>
          <w:tcPr>
            <w:tcW w:w="484" w:type="pct"/>
          </w:tcPr>
          <w:p w:rsidR="00EA1F23" w:rsidRPr="007A036F" w:rsidRDefault="00EA1F23" w:rsidP="00787747">
            <w:pPr>
              <w:rPr>
                <w:rFonts w:ascii="Arial" w:hAnsi="Arial" w:cs="Arial"/>
                <w:color w:val="000000"/>
                <w:sz w:val="22"/>
                <w:szCs w:val="22"/>
                <w:lang w:val="en-GB"/>
              </w:rPr>
            </w:pPr>
            <w:r>
              <w:rPr>
                <w:rFonts w:ascii="Arial" w:hAnsi="Arial" w:cs="Arial"/>
                <w:color w:val="000000"/>
                <w:sz w:val="22"/>
                <w:szCs w:val="22"/>
                <w:lang w:val="en-GB"/>
              </w:rPr>
              <w:t>2</w:t>
            </w:r>
          </w:p>
        </w:tc>
        <w:tc>
          <w:tcPr>
            <w:tcW w:w="601" w:type="pct"/>
          </w:tcPr>
          <w:p w:rsidR="00EA1F23" w:rsidRDefault="003157EE" w:rsidP="00787747">
            <w:pPr>
              <w:rPr>
                <w:rFonts w:ascii="Arial" w:hAnsi="Arial" w:cs="Arial"/>
                <w:color w:val="000000"/>
                <w:sz w:val="22"/>
                <w:szCs w:val="22"/>
                <w:lang w:val="en-GB"/>
              </w:rPr>
            </w:pPr>
            <w:r>
              <w:rPr>
                <w:rFonts w:ascii="Arial" w:hAnsi="Arial" w:cs="Arial"/>
                <w:color w:val="000000"/>
                <w:sz w:val="22"/>
                <w:szCs w:val="22"/>
                <w:lang w:val="en-GB"/>
              </w:rPr>
              <w:t>1</w:t>
            </w:r>
          </w:p>
        </w:tc>
      </w:tr>
    </w:tbl>
    <w:p w:rsidR="007C20B1" w:rsidRDefault="007C20B1">
      <w:pPr>
        <w:rPr>
          <w:rFonts w:ascii="Arial" w:hAnsi="Arial" w:cs="Arial"/>
          <w:b/>
          <w:lang w:val="en-GB"/>
        </w:rPr>
      </w:pPr>
    </w:p>
    <w:sectPr w:rsidR="007C20B1" w:rsidSect="00B977CF">
      <w:headerReference w:type="default" r:id="rId9"/>
      <w:footerReference w:type="default" r:id="rId10"/>
      <w:pgSz w:w="15840" w:h="12240" w:orient="landscape"/>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248" w:rsidRDefault="00242248" w:rsidP="00E303A8">
      <w:r>
        <w:separator/>
      </w:r>
    </w:p>
  </w:endnote>
  <w:endnote w:type="continuationSeparator" w:id="0">
    <w:p w:rsidR="00242248" w:rsidRDefault="00242248" w:rsidP="00E30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56" w:rsidRDefault="00FA501A">
    <w:pPr>
      <w:pStyle w:val="Footer"/>
    </w:pPr>
    <w:r>
      <w:fldChar w:fldCharType="begin"/>
    </w:r>
    <w:r>
      <w:instrText xml:space="preserve"> PAGE   \* MERGEFORMAT </w:instrText>
    </w:r>
    <w:r>
      <w:fldChar w:fldCharType="separate"/>
    </w:r>
    <w:r w:rsidR="000D0C55">
      <w:rPr>
        <w:noProof/>
      </w:rPr>
      <w:t>6</w:t>
    </w:r>
    <w:r>
      <w:rPr>
        <w:noProof/>
      </w:rPr>
      <w:fldChar w:fldCharType="end"/>
    </w:r>
  </w:p>
  <w:p w:rsidR="00096556" w:rsidRDefault="000965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248" w:rsidRDefault="00242248" w:rsidP="00E303A8">
      <w:r>
        <w:separator/>
      </w:r>
    </w:p>
  </w:footnote>
  <w:footnote w:type="continuationSeparator" w:id="0">
    <w:p w:rsidR="00242248" w:rsidRDefault="00242248" w:rsidP="00E30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CC0" w:rsidRPr="007E3CC0" w:rsidRDefault="007E3CC0" w:rsidP="007E3CC0">
    <w:pPr>
      <w:pStyle w:val="Header"/>
    </w:pPr>
    <w:r>
      <w:tab/>
      <w:t xml:space="preserve">                                                                 </w:t>
    </w:r>
    <w:r>
      <w:tab/>
    </w:r>
    <w:r>
      <w:rPr>
        <w:noProof/>
        <w:lang w:val="en-GB" w:eastAsia="en-GB"/>
      </w:rPr>
      <w:drawing>
        <wp:inline distT="0" distB="0" distL="0" distR="0" wp14:anchorId="4CFCD1C9" wp14:editId="1A08F0CD">
          <wp:extent cx="2847975" cy="952500"/>
          <wp:effectExtent l="0" t="0" r="9525" b="0"/>
          <wp:docPr id="1" name="Picture 1" descr="SeftonJointC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ftonJointCC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1B2"/>
    <w:multiLevelType w:val="hybridMultilevel"/>
    <w:tmpl w:val="E264B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5C417CE"/>
    <w:multiLevelType w:val="hybridMultilevel"/>
    <w:tmpl w:val="4F54AA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3282949"/>
    <w:multiLevelType w:val="hybridMultilevel"/>
    <w:tmpl w:val="7B969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611"/>
    <w:rsid w:val="00000CCA"/>
    <w:rsid w:val="00001CB2"/>
    <w:rsid w:val="00002F08"/>
    <w:rsid w:val="00012732"/>
    <w:rsid w:val="00024964"/>
    <w:rsid w:val="00031B10"/>
    <w:rsid w:val="00044694"/>
    <w:rsid w:val="00047DE0"/>
    <w:rsid w:val="00054623"/>
    <w:rsid w:val="00056560"/>
    <w:rsid w:val="00066006"/>
    <w:rsid w:val="00070392"/>
    <w:rsid w:val="0007275B"/>
    <w:rsid w:val="000800CC"/>
    <w:rsid w:val="00083810"/>
    <w:rsid w:val="0008403D"/>
    <w:rsid w:val="00096556"/>
    <w:rsid w:val="000A6F56"/>
    <w:rsid w:val="000B4721"/>
    <w:rsid w:val="000C150C"/>
    <w:rsid w:val="000C3050"/>
    <w:rsid w:val="000C5F99"/>
    <w:rsid w:val="000D0C55"/>
    <w:rsid w:val="000D68D5"/>
    <w:rsid w:val="000D6A39"/>
    <w:rsid w:val="000D79BB"/>
    <w:rsid w:val="000F2EF4"/>
    <w:rsid w:val="000F48A2"/>
    <w:rsid w:val="00100C50"/>
    <w:rsid w:val="001026E3"/>
    <w:rsid w:val="00106D5F"/>
    <w:rsid w:val="00122172"/>
    <w:rsid w:val="00144611"/>
    <w:rsid w:val="00146875"/>
    <w:rsid w:val="0016298D"/>
    <w:rsid w:val="001847E1"/>
    <w:rsid w:val="00186A7C"/>
    <w:rsid w:val="00196472"/>
    <w:rsid w:val="00196A5A"/>
    <w:rsid w:val="001A0D9C"/>
    <w:rsid w:val="001A133B"/>
    <w:rsid w:val="001B2EC7"/>
    <w:rsid w:val="00206640"/>
    <w:rsid w:val="0021161C"/>
    <w:rsid w:val="00224374"/>
    <w:rsid w:val="00241207"/>
    <w:rsid w:val="00242248"/>
    <w:rsid w:val="00244509"/>
    <w:rsid w:val="002473E6"/>
    <w:rsid w:val="00275780"/>
    <w:rsid w:val="0028103E"/>
    <w:rsid w:val="002827B7"/>
    <w:rsid w:val="00287F79"/>
    <w:rsid w:val="00290058"/>
    <w:rsid w:val="002925C8"/>
    <w:rsid w:val="002A1E17"/>
    <w:rsid w:val="002B2539"/>
    <w:rsid w:val="002F40F0"/>
    <w:rsid w:val="00301834"/>
    <w:rsid w:val="00302E77"/>
    <w:rsid w:val="00310BFC"/>
    <w:rsid w:val="003157EE"/>
    <w:rsid w:val="00325997"/>
    <w:rsid w:val="0035248A"/>
    <w:rsid w:val="00364BAC"/>
    <w:rsid w:val="003672DC"/>
    <w:rsid w:val="003817F4"/>
    <w:rsid w:val="00387AF5"/>
    <w:rsid w:val="003968A8"/>
    <w:rsid w:val="003A1AC5"/>
    <w:rsid w:val="003A2518"/>
    <w:rsid w:val="003B0A38"/>
    <w:rsid w:val="003C3A79"/>
    <w:rsid w:val="003D3270"/>
    <w:rsid w:val="003D4F3B"/>
    <w:rsid w:val="003D670C"/>
    <w:rsid w:val="00403FF9"/>
    <w:rsid w:val="004075AB"/>
    <w:rsid w:val="00442095"/>
    <w:rsid w:val="00447A78"/>
    <w:rsid w:val="00454EE3"/>
    <w:rsid w:val="00467773"/>
    <w:rsid w:val="00470353"/>
    <w:rsid w:val="00474139"/>
    <w:rsid w:val="00480D7E"/>
    <w:rsid w:val="0048548E"/>
    <w:rsid w:val="00486BD9"/>
    <w:rsid w:val="00491A54"/>
    <w:rsid w:val="00495C66"/>
    <w:rsid w:val="004B0717"/>
    <w:rsid w:val="004B79D5"/>
    <w:rsid w:val="004E522E"/>
    <w:rsid w:val="004F4DBE"/>
    <w:rsid w:val="004F53E3"/>
    <w:rsid w:val="00507C5B"/>
    <w:rsid w:val="00510078"/>
    <w:rsid w:val="00520EFA"/>
    <w:rsid w:val="00523C5E"/>
    <w:rsid w:val="00525F9C"/>
    <w:rsid w:val="005272EF"/>
    <w:rsid w:val="0052735D"/>
    <w:rsid w:val="00530D4A"/>
    <w:rsid w:val="00537157"/>
    <w:rsid w:val="00556197"/>
    <w:rsid w:val="005674EE"/>
    <w:rsid w:val="005763D9"/>
    <w:rsid w:val="00580F49"/>
    <w:rsid w:val="00586155"/>
    <w:rsid w:val="0059529D"/>
    <w:rsid w:val="00595F09"/>
    <w:rsid w:val="005A6A44"/>
    <w:rsid w:val="005B7F9A"/>
    <w:rsid w:val="005D2185"/>
    <w:rsid w:val="006024CF"/>
    <w:rsid w:val="00617B7F"/>
    <w:rsid w:val="006363E0"/>
    <w:rsid w:val="006365CC"/>
    <w:rsid w:val="00637C5C"/>
    <w:rsid w:val="006570BF"/>
    <w:rsid w:val="00663D03"/>
    <w:rsid w:val="00696DF6"/>
    <w:rsid w:val="006B7EC2"/>
    <w:rsid w:val="006C21F0"/>
    <w:rsid w:val="006C3D67"/>
    <w:rsid w:val="006C413C"/>
    <w:rsid w:val="006D0015"/>
    <w:rsid w:val="006E0DEE"/>
    <w:rsid w:val="006E6579"/>
    <w:rsid w:val="006F0745"/>
    <w:rsid w:val="006F1421"/>
    <w:rsid w:val="007012F4"/>
    <w:rsid w:val="00720937"/>
    <w:rsid w:val="0072174F"/>
    <w:rsid w:val="00733E3A"/>
    <w:rsid w:val="00743FC6"/>
    <w:rsid w:val="007566EB"/>
    <w:rsid w:val="007647B0"/>
    <w:rsid w:val="00772201"/>
    <w:rsid w:val="00772FB7"/>
    <w:rsid w:val="00785FBA"/>
    <w:rsid w:val="00797BA6"/>
    <w:rsid w:val="007A036F"/>
    <w:rsid w:val="007A5341"/>
    <w:rsid w:val="007A59A4"/>
    <w:rsid w:val="007A6CF2"/>
    <w:rsid w:val="007C20B1"/>
    <w:rsid w:val="007E018F"/>
    <w:rsid w:val="007E3CC0"/>
    <w:rsid w:val="008008BF"/>
    <w:rsid w:val="00846B1D"/>
    <w:rsid w:val="00856240"/>
    <w:rsid w:val="008572C0"/>
    <w:rsid w:val="0085771F"/>
    <w:rsid w:val="008601C5"/>
    <w:rsid w:val="00861CAE"/>
    <w:rsid w:val="00864232"/>
    <w:rsid w:val="00866EB4"/>
    <w:rsid w:val="00872A8C"/>
    <w:rsid w:val="00872E4D"/>
    <w:rsid w:val="008841FF"/>
    <w:rsid w:val="00892BFD"/>
    <w:rsid w:val="00896457"/>
    <w:rsid w:val="00897025"/>
    <w:rsid w:val="008A3553"/>
    <w:rsid w:val="008A5202"/>
    <w:rsid w:val="008B7E1F"/>
    <w:rsid w:val="008D55B1"/>
    <w:rsid w:val="008F1A86"/>
    <w:rsid w:val="00906CE8"/>
    <w:rsid w:val="009113B3"/>
    <w:rsid w:val="00913A29"/>
    <w:rsid w:val="0092037E"/>
    <w:rsid w:val="00952770"/>
    <w:rsid w:val="00961215"/>
    <w:rsid w:val="009660D6"/>
    <w:rsid w:val="00975A64"/>
    <w:rsid w:val="00994C94"/>
    <w:rsid w:val="009B5E94"/>
    <w:rsid w:val="009B7756"/>
    <w:rsid w:val="009D3C2C"/>
    <w:rsid w:val="009D7F2F"/>
    <w:rsid w:val="00A06C3C"/>
    <w:rsid w:val="00A24E5A"/>
    <w:rsid w:val="00A51F35"/>
    <w:rsid w:val="00A60138"/>
    <w:rsid w:val="00A6342D"/>
    <w:rsid w:val="00A8424B"/>
    <w:rsid w:val="00A85C82"/>
    <w:rsid w:val="00A913EA"/>
    <w:rsid w:val="00AB4D7D"/>
    <w:rsid w:val="00AB67C9"/>
    <w:rsid w:val="00AD49D0"/>
    <w:rsid w:val="00AF5CE6"/>
    <w:rsid w:val="00B06FC5"/>
    <w:rsid w:val="00B27426"/>
    <w:rsid w:val="00B33697"/>
    <w:rsid w:val="00B63776"/>
    <w:rsid w:val="00B63CFA"/>
    <w:rsid w:val="00B80E8A"/>
    <w:rsid w:val="00B81F46"/>
    <w:rsid w:val="00B966EF"/>
    <w:rsid w:val="00B977CF"/>
    <w:rsid w:val="00BA07A2"/>
    <w:rsid w:val="00BA08F9"/>
    <w:rsid w:val="00BC3FD3"/>
    <w:rsid w:val="00BC55AE"/>
    <w:rsid w:val="00BD6015"/>
    <w:rsid w:val="00BE2FEC"/>
    <w:rsid w:val="00BE6CB1"/>
    <w:rsid w:val="00C1616A"/>
    <w:rsid w:val="00C22F00"/>
    <w:rsid w:val="00C2492D"/>
    <w:rsid w:val="00C25E70"/>
    <w:rsid w:val="00C329FA"/>
    <w:rsid w:val="00C355C7"/>
    <w:rsid w:val="00C373AF"/>
    <w:rsid w:val="00C4789F"/>
    <w:rsid w:val="00C56285"/>
    <w:rsid w:val="00C71275"/>
    <w:rsid w:val="00C716B0"/>
    <w:rsid w:val="00C753BC"/>
    <w:rsid w:val="00C75432"/>
    <w:rsid w:val="00C77A51"/>
    <w:rsid w:val="00C800F7"/>
    <w:rsid w:val="00C84B07"/>
    <w:rsid w:val="00C86FE5"/>
    <w:rsid w:val="00C965D8"/>
    <w:rsid w:val="00CA7B36"/>
    <w:rsid w:val="00CB604D"/>
    <w:rsid w:val="00CC6A47"/>
    <w:rsid w:val="00CD72EE"/>
    <w:rsid w:val="00CE34D4"/>
    <w:rsid w:val="00CE35FF"/>
    <w:rsid w:val="00CF2017"/>
    <w:rsid w:val="00D00C6D"/>
    <w:rsid w:val="00D0644D"/>
    <w:rsid w:val="00D25E40"/>
    <w:rsid w:val="00D40576"/>
    <w:rsid w:val="00D42041"/>
    <w:rsid w:val="00D46FAC"/>
    <w:rsid w:val="00D626EA"/>
    <w:rsid w:val="00D62F22"/>
    <w:rsid w:val="00D7747A"/>
    <w:rsid w:val="00D8238F"/>
    <w:rsid w:val="00DA75B6"/>
    <w:rsid w:val="00DC10E5"/>
    <w:rsid w:val="00DC6587"/>
    <w:rsid w:val="00DD3E80"/>
    <w:rsid w:val="00DD5747"/>
    <w:rsid w:val="00DE7263"/>
    <w:rsid w:val="00DE7EF0"/>
    <w:rsid w:val="00E16884"/>
    <w:rsid w:val="00E275CA"/>
    <w:rsid w:val="00E303A8"/>
    <w:rsid w:val="00E31BB9"/>
    <w:rsid w:val="00E81037"/>
    <w:rsid w:val="00E82036"/>
    <w:rsid w:val="00E836FA"/>
    <w:rsid w:val="00EA1F23"/>
    <w:rsid w:val="00ED5F70"/>
    <w:rsid w:val="00ED64E6"/>
    <w:rsid w:val="00EF1391"/>
    <w:rsid w:val="00F17998"/>
    <w:rsid w:val="00F31527"/>
    <w:rsid w:val="00F55818"/>
    <w:rsid w:val="00F921E9"/>
    <w:rsid w:val="00FA14D9"/>
    <w:rsid w:val="00FA501A"/>
    <w:rsid w:val="00FD5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4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31527"/>
    <w:rPr>
      <w:sz w:val="16"/>
      <w:szCs w:val="16"/>
    </w:rPr>
  </w:style>
  <w:style w:type="paragraph" w:styleId="CommentText">
    <w:name w:val="annotation text"/>
    <w:basedOn w:val="Normal"/>
    <w:link w:val="CommentTextChar"/>
    <w:rsid w:val="00F31527"/>
    <w:rPr>
      <w:sz w:val="20"/>
      <w:szCs w:val="20"/>
    </w:rPr>
  </w:style>
  <w:style w:type="character" w:customStyle="1" w:styleId="CommentTextChar">
    <w:name w:val="Comment Text Char"/>
    <w:link w:val="CommentText"/>
    <w:rsid w:val="00F31527"/>
    <w:rPr>
      <w:lang w:val="en-US" w:eastAsia="en-US"/>
    </w:rPr>
  </w:style>
  <w:style w:type="paragraph" w:styleId="CommentSubject">
    <w:name w:val="annotation subject"/>
    <w:basedOn w:val="CommentText"/>
    <w:next w:val="CommentText"/>
    <w:link w:val="CommentSubjectChar"/>
    <w:rsid w:val="00F31527"/>
    <w:rPr>
      <w:b/>
      <w:bCs/>
    </w:rPr>
  </w:style>
  <w:style w:type="character" w:customStyle="1" w:styleId="CommentSubjectChar">
    <w:name w:val="Comment Subject Char"/>
    <w:link w:val="CommentSubject"/>
    <w:rsid w:val="00F31527"/>
    <w:rPr>
      <w:b/>
      <w:bCs/>
      <w:lang w:val="en-US" w:eastAsia="en-US"/>
    </w:rPr>
  </w:style>
  <w:style w:type="paragraph" w:styleId="BalloonText">
    <w:name w:val="Balloon Text"/>
    <w:basedOn w:val="Normal"/>
    <w:link w:val="BalloonTextChar"/>
    <w:rsid w:val="00F31527"/>
    <w:rPr>
      <w:rFonts w:ascii="Tahoma" w:hAnsi="Tahoma" w:cs="Tahoma"/>
      <w:sz w:val="16"/>
      <w:szCs w:val="16"/>
    </w:rPr>
  </w:style>
  <w:style w:type="character" w:customStyle="1" w:styleId="BalloonTextChar">
    <w:name w:val="Balloon Text Char"/>
    <w:link w:val="BalloonText"/>
    <w:rsid w:val="00F31527"/>
    <w:rPr>
      <w:rFonts w:ascii="Tahoma" w:hAnsi="Tahoma" w:cs="Tahoma"/>
      <w:sz w:val="16"/>
      <w:szCs w:val="16"/>
      <w:lang w:val="en-US" w:eastAsia="en-US"/>
    </w:rPr>
  </w:style>
  <w:style w:type="paragraph" w:customStyle="1" w:styleId="Default">
    <w:name w:val="Default"/>
    <w:rsid w:val="00A60138"/>
    <w:pPr>
      <w:autoSpaceDE w:val="0"/>
      <w:autoSpaceDN w:val="0"/>
      <w:adjustRightInd w:val="0"/>
    </w:pPr>
    <w:rPr>
      <w:rFonts w:ascii="Arial" w:hAnsi="Arial" w:cs="Arial"/>
      <w:color w:val="000000"/>
      <w:sz w:val="24"/>
      <w:szCs w:val="24"/>
    </w:rPr>
  </w:style>
  <w:style w:type="character" w:styleId="Hyperlink">
    <w:name w:val="Hyperlink"/>
    <w:uiPriority w:val="99"/>
    <w:unhideWhenUsed/>
    <w:rsid w:val="00290058"/>
    <w:rPr>
      <w:color w:val="0000FF"/>
      <w:u w:val="single"/>
    </w:rPr>
  </w:style>
  <w:style w:type="paragraph" w:styleId="Header">
    <w:name w:val="header"/>
    <w:basedOn w:val="Normal"/>
    <w:link w:val="HeaderChar"/>
    <w:rsid w:val="00E303A8"/>
    <w:pPr>
      <w:tabs>
        <w:tab w:val="center" w:pos="4513"/>
        <w:tab w:val="right" w:pos="9026"/>
      </w:tabs>
    </w:pPr>
  </w:style>
  <w:style w:type="character" w:customStyle="1" w:styleId="HeaderChar">
    <w:name w:val="Header Char"/>
    <w:link w:val="Header"/>
    <w:rsid w:val="00E303A8"/>
    <w:rPr>
      <w:sz w:val="24"/>
      <w:szCs w:val="24"/>
      <w:lang w:val="en-US" w:eastAsia="en-US"/>
    </w:rPr>
  </w:style>
  <w:style w:type="paragraph" w:styleId="Footer">
    <w:name w:val="footer"/>
    <w:basedOn w:val="Normal"/>
    <w:link w:val="FooterChar"/>
    <w:uiPriority w:val="99"/>
    <w:rsid w:val="00E303A8"/>
    <w:pPr>
      <w:tabs>
        <w:tab w:val="center" w:pos="4513"/>
        <w:tab w:val="right" w:pos="9026"/>
      </w:tabs>
    </w:pPr>
  </w:style>
  <w:style w:type="character" w:customStyle="1" w:styleId="FooterChar">
    <w:name w:val="Footer Char"/>
    <w:link w:val="Footer"/>
    <w:uiPriority w:val="99"/>
    <w:rsid w:val="00E303A8"/>
    <w:rPr>
      <w:sz w:val="24"/>
      <w:szCs w:val="24"/>
      <w:lang w:val="en-US" w:eastAsia="en-US"/>
    </w:rPr>
  </w:style>
  <w:style w:type="paragraph" w:styleId="ListParagraph">
    <w:name w:val="List Paragraph"/>
    <w:basedOn w:val="Normal"/>
    <w:uiPriority w:val="34"/>
    <w:qFormat/>
    <w:rsid w:val="00580F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4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31527"/>
    <w:rPr>
      <w:sz w:val="16"/>
      <w:szCs w:val="16"/>
    </w:rPr>
  </w:style>
  <w:style w:type="paragraph" w:styleId="CommentText">
    <w:name w:val="annotation text"/>
    <w:basedOn w:val="Normal"/>
    <w:link w:val="CommentTextChar"/>
    <w:rsid w:val="00F31527"/>
    <w:rPr>
      <w:sz w:val="20"/>
      <w:szCs w:val="20"/>
    </w:rPr>
  </w:style>
  <w:style w:type="character" w:customStyle="1" w:styleId="CommentTextChar">
    <w:name w:val="Comment Text Char"/>
    <w:link w:val="CommentText"/>
    <w:rsid w:val="00F31527"/>
    <w:rPr>
      <w:lang w:val="en-US" w:eastAsia="en-US"/>
    </w:rPr>
  </w:style>
  <w:style w:type="paragraph" w:styleId="CommentSubject">
    <w:name w:val="annotation subject"/>
    <w:basedOn w:val="CommentText"/>
    <w:next w:val="CommentText"/>
    <w:link w:val="CommentSubjectChar"/>
    <w:rsid w:val="00F31527"/>
    <w:rPr>
      <w:b/>
      <w:bCs/>
    </w:rPr>
  </w:style>
  <w:style w:type="character" w:customStyle="1" w:styleId="CommentSubjectChar">
    <w:name w:val="Comment Subject Char"/>
    <w:link w:val="CommentSubject"/>
    <w:rsid w:val="00F31527"/>
    <w:rPr>
      <w:b/>
      <w:bCs/>
      <w:lang w:val="en-US" w:eastAsia="en-US"/>
    </w:rPr>
  </w:style>
  <w:style w:type="paragraph" w:styleId="BalloonText">
    <w:name w:val="Balloon Text"/>
    <w:basedOn w:val="Normal"/>
    <w:link w:val="BalloonTextChar"/>
    <w:rsid w:val="00F31527"/>
    <w:rPr>
      <w:rFonts w:ascii="Tahoma" w:hAnsi="Tahoma" w:cs="Tahoma"/>
      <w:sz w:val="16"/>
      <w:szCs w:val="16"/>
    </w:rPr>
  </w:style>
  <w:style w:type="character" w:customStyle="1" w:styleId="BalloonTextChar">
    <w:name w:val="Balloon Text Char"/>
    <w:link w:val="BalloonText"/>
    <w:rsid w:val="00F31527"/>
    <w:rPr>
      <w:rFonts w:ascii="Tahoma" w:hAnsi="Tahoma" w:cs="Tahoma"/>
      <w:sz w:val="16"/>
      <w:szCs w:val="16"/>
      <w:lang w:val="en-US" w:eastAsia="en-US"/>
    </w:rPr>
  </w:style>
  <w:style w:type="paragraph" w:customStyle="1" w:styleId="Default">
    <w:name w:val="Default"/>
    <w:rsid w:val="00A60138"/>
    <w:pPr>
      <w:autoSpaceDE w:val="0"/>
      <w:autoSpaceDN w:val="0"/>
      <w:adjustRightInd w:val="0"/>
    </w:pPr>
    <w:rPr>
      <w:rFonts w:ascii="Arial" w:hAnsi="Arial" w:cs="Arial"/>
      <w:color w:val="000000"/>
      <w:sz w:val="24"/>
      <w:szCs w:val="24"/>
    </w:rPr>
  </w:style>
  <w:style w:type="character" w:styleId="Hyperlink">
    <w:name w:val="Hyperlink"/>
    <w:uiPriority w:val="99"/>
    <w:unhideWhenUsed/>
    <w:rsid w:val="00290058"/>
    <w:rPr>
      <w:color w:val="0000FF"/>
      <w:u w:val="single"/>
    </w:rPr>
  </w:style>
  <w:style w:type="paragraph" w:styleId="Header">
    <w:name w:val="header"/>
    <w:basedOn w:val="Normal"/>
    <w:link w:val="HeaderChar"/>
    <w:rsid w:val="00E303A8"/>
    <w:pPr>
      <w:tabs>
        <w:tab w:val="center" w:pos="4513"/>
        <w:tab w:val="right" w:pos="9026"/>
      </w:tabs>
    </w:pPr>
  </w:style>
  <w:style w:type="character" w:customStyle="1" w:styleId="HeaderChar">
    <w:name w:val="Header Char"/>
    <w:link w:val="Header"/>
    <w:rsid w:val="00E303A8"/>
    <w:rPr>
      <w:sz w:val="24"/>
      <w:szCs w:val="24"/>
      <w:lang w:val="en-US" w:eastAsia="en-US"/>
    </w:rPr>
  </w:style>
  <w:style w:type="paragraph" w:styleId="Footer">
    <w:name w:val="footer"/>
    <w:basedOn w:val="Normal"/>
    <w:link w:val="FooterChar"/>
    <w:uiPriority w:val="99"/>
    <w:rsid w:val="00E303A8"/>
    <w:pPr>
      <w:tabs>
        <w:tab w:val="center" w:pos="4513"/>
        <w:tab w:val="right" w:pos="9026"/>
      </w:tabs>
    </w:pPr>
  </w:style>
  <w:style w:type="character" w:customStyle="1" w:styleId="FooterChar">
    <w:name w:val="Footer Char"/>
    <w:link w:val="Footer"/>
    <w:uiPriority w:val="99"/>
    <w:rsid w:val="00E303A8"/>
    <w:rPr>
      <w:sz w:val="24"/>
      <w:szCs w:val="24"/>
      <w:lang w:val="en-US" w:eastAsia="en-US"/>
    </w:rPr>
  </w:style>
  <w:style w:type="paragraph" w:styleId="ListParagraph">
    <w:name w:val="List Paragraph"/>
    <w:basedOn w:val="Normal"/>
    <w:uiPriority w:val="34"/>
    <w:qFormat/>
    <w:rsid w:val="00580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4073">
      <w:bodyDiv w:val="1"/>
      <w:marLeft w:val="0"/>
      <w:marRight w:val="0"/>
      <w:marTop w:val="0"/>
      <w:marBottom w:val="0"/>
      <w:divBdr>
        <w:top w:val="none" w:sz="0" w:space="0" w:color="auto"/>
        <w:left w:val="none" w:sz="0" w:space="0" w:color="auto"/>
        <w:bottom w:val="none" w:sz="0" w:space="0" w:color="auto"/>
        <w:right w:val="none" w:sz="0" w:space="0" w:color="auto"/>
      </w:divBdr>
    </w:div>
    <w:div w:id="69230901">
      <w:bodyDiv w:val="1"/>
      <w:marLeft w:val="0"/>
      <w:marRight w:val="0"/>
      <w:marTop w:val="0"/>
      <w:marBottom w:val="0"/>
      <w:divBdr>
        <w:top w:val="none" w:sz="0" w:space="0" w:color="auto"/>
        <w:left w:val="none" w:sz="0" w:space="0" w:color="auto"/>
        <w:bottom w:val="none" w:sz="0" w:space="0" w:color="auto"/>
        <w:right w:val="none" w:sz="0" w:space="0" w:color="auto"/>
      </w:divBdr>
    </w:div>
    <w:div w:id="107554330">
      <w:bodyDiv w:val="1"/>
      <w:marLeft w:val="0"/>
      <w:marRight w:val="0"/>
      <w:marTop w:val="0"/>
      <w:marBottom w:val="0"/>
      <w:divBdr>
        <w:top w:val="none" w:sz="0" w:space="0" w:color="auto"/>
        <w:left w:val="none" w:sz="0" w:space="0" w:color="auto"/>
        <w:bottom w:val="none" w:sz="0" w:space="0" w:color="auto"/>
        <w:right w:val="none" w:sz="0" w:space="0" w:color="auto"/>
      </w:divBdr>
    </w:div>
    <w:div w:id="108355705">
      <w:bodyDiv w:val="1"/>
      <w:marLeft w:val="0"/>
      <w:marRight w:val="0"/>
      <w:marTop w:val="0"/>
      <w:marBottom w:val="0"/>
      <w:divBdr>
        <w:top w:val="none" w:sz="0" w:space="0" w:color="auto"/>
        <w:left w:val="none" w:sz="0" w:space="0" w:color="auto"/>
        <w:bottom w:val="none" w:sz="0" w:space="0" w:color="auto"/>
        <w:right w:val="none" w:sz="0" w:space="0" w:color="auto"/>
      </w:divBdr>
    </w:div>
    <w:div w:id="148056486">
      <w:bodyDiv w:val="1"/>
      <w:marLeft w:val="0"/>
      <w:marRight w:val="0"/>
      <w:marTop w:val="0"/>
      <w:marBottom w:val="0"/>
      <w:divBdr>
        <w:top w:val="none" w:sz="0" w:space="0" w:color="auto"/>
        <w:left w:val="none" w:sz="0" w:space="0" w:color="auto"/>
        <w:bottom w:val="none" w:sz="0" w:space="0" w:color="auto"/>
        <w:right w:val="none" w:sz="0" w:space="0" w:color="auto"/>
      </w:divBdr>
    </w:div>
    <w:div w:id="254750006">
      <w:bodyDiv w:val="1"/>
      <w:marLeft w:val="0"/>
      <w:marRight w:val="0"/>
      <w:marTop w:val="0"/>
      <w:marBottom w:val="0"/>
      <w:divBdr>
        <w:top w:val="none" w:sz="0" w:space="0" w:color="auto"/>
        <w:left w:val="none" w:sz="0" w:space="0" w:color="auto"/>
        <w:bottom w:val="none" w:sz="0" w:space="0" w:color="auto"/>
        <w:right w:val="none" w:sz="0" w:space="0" w:color="auto"/>
      </w:divBdr>
    </w:div>
    <w:div w:id="364260653">
      <w:bodyDiv w:val="1"/>
      <w:marLeft w:val="0"/>
      <w:marRight w:val="0"/>
      <w:marTop w:val="0"/>
      <w:marBottom w:val="0"/>
      <w:divBdr>
        <w:top w:val="none" w:sz="0" w:space="0" w:color="auto"/>
        <w:left w:val="none" w:sz="0" w:space="0" w:color="auto"/>
        <w:bottom w:val="none" w:sz="0" w:space="0" w:color="auto"/>
        <w:right w:val="none" w:sz="0" w:space="0" w:color="auto"/>
      </w:divBdr>
    </w:div>
    <w:div w:id="386104103">
      <w:bodyDiv w:val="1"/>
      <w:marLeft w:val="0"/>
      <w:marRight w:val="0"/>
      <w:marTop w:val="0"/>
      <w:marBottom w:val="0"/>
      <w:divBdr>
        <w:top w:val="none" w:sz="0" w:space="0" w:color="auto"/>
        <w:left w:val="none" w:sz="0" w:space="0" w:color="auto"/>
        <w:bottom w:val="none" w:sz="0" w:space="0" w:color="auto"/>
        <w:right w:val="none" w:sz="0" w:space="0" w:color="auto"/>
      </w:divBdr>
    </w:div>
    <w:div w:id="471679754">
      <w:bodyDiv w:val="1"/>
      <w:marLeft w:val="0"/>
      <w:marRight w:val="0"/>
      <w:marTop w:val="0"/>
      <w:marBottom w:val="0"/>
      <w:divBdr>
        <w:top w:val="none" w:sz="0" w:space="0" w:color="auto"/>
        <w:left w:val="none" w:sz="0" w:space="0" w:color="auto"/>
        <w:bottom w:val="none" w:sz="0" w:space="0" w:color="auto"/>
        <w:right w:val="none" w:sz="0" w:space="0" w:color="auto"/>
      </w:divBdr>
    </w:div>
    <w:div w:id="523373026">
      <w:bodyDiv w:val="1"/>
      <w:marLeft w:val="0"/>
      <w:marRight w:val="0"/>
      <w:marTop w:val="0"/>
      <w:marBottom w:val="0"/>
      <w:divBdr>
        <w:top w:val="none" w:sz="0" w:space="0" w:color="auto"/>
        <w:left w:val="none" w:sz="0" w:space="0" w:color="auto"/>
        <w:bottom w:val="none" w:sz="0" w:space="0" w:color="auto"/>
        <w:right w:val="none" w:sz="0" w:space="0" w:color="auto"/>
      </w:divBdr>
    </w:div>
    <w:div w:id="603390385">
      <w:bodyDiv w:val="1"/>
      <w:marLeft w:val="0"/>
      <w:marRight w:val="0"/>
      <w:marTop w:val="0"/>
      <w:marBottom w:val="0"/>
      <w:divBdr>
        <w:top w:val="none" w:sz="0" w:space="0" w:color="auto"/>
        <w:left w:val="none" w:sz="0" w:space="0" w:color="auto"/>
        <w:bottom w:val="none" w:sz="0" w:space="0" w:color="auto"/>
        <w:right w:val="none" w:sz="0" w:space="0" w:color="auto"/>
      </w:divBdr>
    </w:div>
    <w:div w:id="807281324">
      <w:bodyDiv w:val="1"/>
      <w:marLeft w:val="0"/>
      <w:marRight w:val="0"/>
      <w:marTop w:val="0"/>
      <w:marBottom w:val="0"/>
      <w:divBdr>
        <w:top w:val="none" w:sz="0" w:space="0" w:color="auto"/>
        <w:left w:val="none" w:sz="0" w:space="0" w:color="auto"/>
        <w:bottom w:val="none" w:sz="0" w:space="0" w:color="auto"/>
        <w:right w:val="none" w:sz="0" w:space="0" w:color="auto"/>
      </w:divBdr>
    </w:div>
    <w:div w:id="829443608">
      <w:bodyDiv w:val="1"/>
      <w:marLeft w:val="0"/>
      <w:marRight w:val="0"/>
      <w:marTop w:val="0"/>
      <w:marBottom w:val="0"/>
      <w:divBdr>
        <w:top w:val="none" w:sz="0" w:space="0" w:color="auto"/>
        <w:left w:val="none" w:sz="0" w:space="0" w:color="auto"/>
        <w:bottom w:val="none" w:sz="0" w:space="0" w:color="auto"/>
        <w:right w:val="none" w:sz="0" w:space="0" w:color="auto"/>
      </w:divBdr>
    </w:div>
    <w:div w:id="846597073">
      <w:bodyDiv w:val="1"/>
      <w:marLeft w:val="0"/>
      <w:marRight w:val="0"/>
      <w:marTop w:val="0"/>
      <w:marBottom w:val="0"/>
      <w:divBdr>
        <w:top w:val="none" w:sz="0" w:space="0" w:color="auto"/>
        <w:left w:val="none" w:sz="0" w:space="0" w:color="auto"/>
        <w:bottom w:val="none" w:sz="0" w:space="0" w:color="auto"/>
        <w:right w:val="none" w:sz="0" w:space="0" w:color="auto"/>
      </w:divBdr>
    </w:div>
    <w:div w:id="861019676">
      <w:bodyDiv w:val="1"/>
      <w:marLeft w:val="0"/>
      <w:marRight w:val="0"/>
      <w:marTop w:val="0"/>
      <w:marBottom w:val="0"/>
      <w:divBdr>
        <w:top w:val="none" w:sz="0" w:space="0" w:color="auto"/>
        <w:left w:val="none" w:sz="0" w:space="0" w:color="auto"/>
        <w:bottom w:val="none" w:sz="0" w:space="0" w:color="auto"/>
        <w:right w:val="none" w:sz="0" w:space="0" w:color="auto"/>
      </w:divBdr>
    </w:div>
    <w:div w:id="1113137368">
      <w:bodyDiv w:val="1"/>
      <w:marLeft w:val="0"/>
      <w:marRight w:val="0"/>
      <w:marTop w:val="0"/>
      <w:marBottom w:val="0"/>
      <w:divBdr>
        <w:top w:val="none" w:sz="0" w:space="0" w:color="auto"/>
        <w:left w:val="none" w:sz="0" w:space="0" w:color="auto"/>
        <w:bottom w:val="none" w:sz="0" w:space="0" w:color="auto"/>
        <w:right w:val="none" w:sz="0" w:space="0" w:color="auto"/>
      </w:divBdr>
    </w:div>
    <w:div w:id="1136724540">
      <w:bodyDiv w:val="1"/>
      <w:marLeft w:val="0"/>
      <w:marRight w:val="0"/>
      <w:marTop w:val="0"/>
      <w:marBottom w:val="0"/>
      <w:divBdr>
        <w:top w:val="none" w:sz="0" w:space="0" w:color="auto"/>
        <w:left w:val="none" w:sz="0" w:space="0" w:color="auto"/>
        <w:bottom w:val="none" w:sz="0" w:space="0" w:color="auto"/>
        <w:right w:val="none" w:sz="0" w:space="0" w:color="auto"/>
      </w:divBdr>
    </w:div>
    <w:div w:id="1161198757">
      <w:bodyDiv w:val="1"/>
      <w:marLeft w:val="0"/>
      <w:marRight w:val="0"/>
      <w:marTop w:val="0"/>
      <w:marBottom w:val="0"/>
      <w:divBdr>
        <w:top w:val="none" w:sz="0" w:space="0" w:color="auto"/>
        <w:left w:val="none" w:sz="0" w:space="0" w:color="auto"/>
        <w:bottom w:val="none" w:sz="0" w:space="0" w:color="auto"/>
        <w:right w:val="none" w:sz="0" w:space="0" w:color="auto"/>
      </w:divBdr>
    </w:div>
    <w:div w:id="1254624715">
      <w:bodyDiv w:val="1"/>
      <w:marLeft w:val="0"/>
      <w:marRight w:val="0"/>
      <w:marTop w:val="0"/>
      <w:marBottom w:val="0"/>
      <w:divBdr>
        <w:top w:val="none" w:sz="0" w:space="0" w:color="auto"/>
        <w:left w:val="none" w:sz="0" w:space="0" w:color="auto"/>
        <w:bottom w:val="none" w:sz="0" w:space="0" w:color="auto"/>
        <w:right w:val="none" w:sz="0" w:space="0" w:color="auto"/>
      </w:divBdr>
    </w:div>
    <w:div w:id="1331330821">
      <w:bodyDiv w:val="1"/>
      <w:marLeft w:val="0"/>
      <w:marRight w:val="0"/>
      <w:marTop w:val="0"/>
      <w:marBottom w:val="0"/>
      <w:divBdr>
        <w:top w:val="none" w:sz="0" w:space="0" w:color="auto"/>
        <w:left w:val="none" w:sz="0" w:space="0" w:color="auto"/>
        <w:bottom w:val="none" w:sz="0" w:space="0" w:color="auto"/>
        <w:right w:val="none" w:sz="0" w:space="0" w:color="auto"/>
      </w:divBdr>
    </w:div>
    <w:div w:id="1368526098">
      <w:bodyDiv w:val="1"/>
      <w:marLeft w:val="0"/>
      <w:marRight w:val="0"/>
      <w:marTop w:val="0"/>
      <w:marBottom w:val="0"/>
      <w:divBdr>
        <w:top w:val="none" w:sz="0" w:space="0" w:color="auto"/>
        <w:left w:val="none" w:sz="0" w:space="0" w:color="auto"/>
        <w:bottom w:val="none" w:sz="0" w:space="0" w:color="auto"/>
        <w:right w:val="none" w:sz="0" w:space="0" w:color="auto"/>
      </w:divBdr>
    </w:div>
    <w:div w:id="1491411337">
      <w:bodyDiv w:val="1"/>
      <w:marLeft w:val="0"/>
      <w:marRight w:val="0"/>
      <w:marTop w:val="0"/>
      <w:marBottom w:val="0"/>
      <w:divBdr>
        <w:top w:val="none" w:sz="0" w:space="0" w:color="auto"/>
        <w:left w:val="none" w:sz="0" w:space="0" w:color="auto"/>
        <w:bottom w:val="none" w:sz="0" w:space="0" w:color="auto"/>
        <w:right w:val="none" w:sz="0" w:space="0" w:color="auto"/>
      </w:divBdr>
    </w:div>
    <w:div w:id="1510830112">
      <w:bodyDiv w:val="1"/>
      <w:marLeft w:val="0"/>
      <w:marRight w:val="0"/>
      <w:marTop w:val="0"/>
      <w:marBottom w:val="0"/>
      <w:divBdr>
        <w:top w:val="none" w:sz="0" w:space="0" w:color="auto"/>
        <w:left w:val="none" w:sz="0" w:space="0" w:color="auto"/>
        <w:bottom w:val="none" w:sz="0" w:space="0" w:color="auto"/>
        <w:right w:val="none" w:sz="0" w:space="0" w:color="auto"/>
      </w:divBdr>
      <w:divsChild>
        <w:div w:id="1081828948">
          <w:marLeft w:val="0"/>
          <w:marRight w:val="0"/>
          <w:marTop w:val="0"/>
          <w:marBottom w:val="0"/>
          <w:divBdr>
            <w:top w:val="none" w:sz="0" w:space="0" w:color="auto"/>
            <w:left w:val="none" w:sz="0" w:space="0" w:color="auto"/>
            <w:bottom w:val="none" w:sz="0" w:space="0" w:color="auto"/>
            <w:right w:val="none" w:sz="0" w:space="0" w:color="auto"/>
          </w:divBdr>
          <w:divsChild>
            <w:div w:id="871770133">
              <w:marLeft w:val="0"/>
              <w:marRight w:val="0"/>
              <w:marTop w:val="0"/>
              <w:marBottom w:val="0"/>
              <w:divBdr>
                <w:top w:val="none" w:sz="0" w:space="0" w:color="auto"/>
                <w:left w:val="none" w:sz="0" w:space="0" w:color="auto"/>
                <w:bottom w:val="none" w:sz="0" w:space="0" w:color="auto"/>
                <w:right w:val="none" w:sz="0" w:space="0" w:color="auto"/>
              </w:divBdr>
              <w:divsChild>
                <w:div w:id="1612126424">
                  <w:marLeft w:val="0"/>
                  <w:marRight w:val="0"/>
                  <w:marTop w:val="0"/>
                  <w:marBottom w:val="0"/>
                  <w:divBdr>
                    <w:top w:val="none" w:sz="0" w:space="0" w:color="auto"/>
                    <w:left w:val="none" w:sz="0" w:space="0" w:color="auto"/>
                    <w:bottom w:val="none" w:sz="0" w:space="0" w:color="auto"/>
                    <w:right w:val="none" w:sz="0" w:space="0" w:color="auto"/>
                  </w:divBdr>
                  <w:divsChild>
                    <w:div w:id="1298949523">
                      <w:marLeft w:val="0"/>
                      <w:marRight w:val="0"/>
                      <w:marTop w:val="0"/>
                      <w:marBottom w:val="0"/>
                      <w:divBdr>
                        <w:top w:val="none" w:sz="0" w:space="0" w:color="auto"/>
                        <w:left w:val="none" w:sz="0" w:space="0" w:color="auto"/>
                        <w:bottom w:val="none" w:sz="0" w:space="0" w:color="auto"/>
                        <w:right w:val="none" w:sz="0" w:space="0" w:color="auto"/>
                      </w:divBdr>
                      <w:divsChild>
                        <w:div w:id="1840537585">
                          <w:marLeft w:val="0"/>
                          <w:marRight w:val="0"/>
                          <w:marTop w:val="0"/>
                          <w:marBottom w:val="0"/>
                          <w:divBdr>
                            <w:top w:val="none" w:sz="0" w:space="0" w:color="auto"/>
                            <w:left w:val="none" w:sz="0" w:space="0" w:color="auto"/>
                            <w:bottom w:val="none" w:sz="0" w:space="0" w:color="auto"/>
                            <w:right w:val="none" w:sz="0" w:space="0" w:color="auto"/>
                          </w:divBdr>
                          <w:divsChild>
                            <w:div w:id="926496811">
                              <w:marLeft w:val="0"/>
                              <w:marRight w:val="0"/>
                              <w:marTop w:val="0"/>
                              <w:marBottom w:val="0"/>
                              <w:divBdr>
                                <w:top w:val="none" w:sz="0" w:space="0" w:color="auto"/>
                                <w:left w:val="none" w:sz="0" w:space="0" w:color="auto"/>
                                <w:bottom w:val="none" w:sz="0" w:space="0" w:color="auto"/>
                                <w:right w:val="none" w:sz="0" w:space="0" w:color="auto"/>
                              </w:divBdr>
                              <w:divsChild>
                                <w:div w:id="14819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732503">
      <w:bodyDiv w:val="1"/>
      <w:marLeft w:val="0"/>
      <w:marRight w:val="0"/>
      <w:marTop w:val="0"/>
      <w:marBottom w:val="0"/>
      <w:divBdr>
        <w:top w:val="none" w:sz="0" w:space="0" w:color="auto"/>
        <w:left w:val="none" w:sz="0" w:space="0" w:color="auto"/>
        <w:bottom w:val="none" w:sz="0" w:space="0" w:color="auto"/>
        <w:right w:val="none" w:sz="0" w:space="0" w:color="auto"/>
      </w:divBdr>
    </w:div>
    <w:div w:id="1655642070">
      <w:bodyDiv w:val="1"/>
      <w:marLeft w:val="0"/>
      <w:marRight w:val="0"/>
      <w:marTop w:val="0"/>
      <w:marBottom w:val="0"/>
      <w:divBdr>
        <w:top w:val="none" w:sz="0" w:space="0" w:color="auto"/>
        <w:left w:val="none" w:sz="0" w:space="0" w:color="auto"/>
        <w:bottom w:val="none" w:sz="0" w:space="0" w:color="auto"/>
        <w:right w:val="none" w:sz="0" w:space="0" w:color="auto"/>
      </w:divBdr>
    </w:div>
    <w:div w:id="1670016125">
      <w:bodyDiv w:val="1"/>
      <w:marLeft w:val="0"/>
      <w:marRight w:val="0"/>
      <w:marTop w:val="0"/>
      <w:marBottom w:val="0"/>
      <w:divBdr>
        <w:top w:val="none" w:sz="0" w:space="0" w:color="auto"/>
        <w:left w:val="none" w:sz="0" w:space="0" w:color="auto"/>
        <w:bottom w:val="none" w:sz="0" w:space="0" w:color="auto"/>
        <w:right w:val="none" w:sz="0" w:space="0" w:color="auto"/>
      </w:divBdr>
    </w:div>
    <w:div w:id="1710105636">
      <w:bodyDiv w:val="1"/>
      <w:marLeft w:val="0"/>
      <w:marRight w:val="0"/>
      <w:marTop w:val="0"/>
      <w:marBottom w:val="0"/>
      <w:divBdr>
        <w:top w:val="none" w:sz="0" w:space="0" w:color="auto"/>
        <w:left w:val="none" w:sz="0" w:space="0" w:color="auto"/>
        <w:bottom w:val="none" w:sz="0" w:space="0" w:color="auto"/>
        <w:right w:val="none" w:sz="0" w:space="0" w:color="auto"/>
      </w:divBdr>
    </w:div>
    <w:div w:id="1714423266">
      <w:bodyDiv w:val="1"/>
      <w:marLeft w:val="0"/>
      <w:marRight w:val="0"/>
      <w:marTop w:val="0"/>
      <w:marBottom w:val="0"/>
      <w:divBdr>
        <w:top w:val="none" w:sz="0" w:space="0" w:color="auto"/>
        <w:left w:val="none" w:sz="0" w:space="0" w:color="auto"/>
        <w:bottom w:val="none" w:sz="0" w:space="0" w:color="auto"/>
        <w:right w:val="none" w:sz="0" w:space="0" w:color="auto"/>
      </w:divBdr>
    </w:div>
    <w:div w:id="1728332264">
      <w:bodyDiv w:val="1"/>
      <w:marLeft w:val="0"/>
      <w:marRight w:val="0"/>
      <w:marTop w:val="0"/>
      <w:marBottom w:val="0"/>
      <w:divBdr>
        <w:top w:val="none" w:sz="0" w:space="0" w:color="auto"/>
        <w:left w:val="none" w:sz="0" w:space="0" w:color="auto"/>
        <w:bottom w:val="none" w:sz="0" w:space="0" w:color="auto"/>
        <w:right w:val="none" w:sz="0" w:space="0" w:color="auto"/>
      </w:divBdr>
    </w:div>
    <w:div w:id="1759718240">
      <w:bodyDiv w:val="1"/>
      <w:marLeft w:val="0"/>
      <w:marRight w:val="0"/>
      <w:marTop w:val="0"/>
      <w:marBottom w:val="0"/>
      <w:divBdr>
        <w:top w:val="none" w:sz="0" w:space="0" w:color="auto"/>
        <w:left w:val="none" w:sz="0" w:space="0" w:color="auto"/>
        <w:bottom w:val="none" w:sz="0" w:space="0" w:color="auto"/>
        <w:right w:val="none" w:sz="0" w:space="0" w:color="auto"/>
      </w:divBdr>
    </w:div>
    <w:div w:id="1846675364">
      <w:bodyDiv w:val="1"/>
      <w:marLeft w:val="0"/>
      <w:marRight w:val="0"/>
      <w:marTop w:val="0"/>
      <w:marBottom w:val="0"/>
      <w:divBdr>
        <w:top w:val="none" w:sz="0" w:space="0" w:color="auto"/>
        <w:left w:val="none" w:sz="0" w:space="0" w:color="auto"/>
        <w:bottom w:val="none" w:sz="0" w:space="0" w:color="auto"/>
        <w:right w:val="none" w:sz="0" w:space="0" w:color="auto"/>
      </w:divBdr>
    </w:div>
    <w:div w:id="1892883933">
      <w:bodyDiv w:val="1"/>
      <w:marLeft w:val="0"/>
      <w:marRight w:val="0"/>
      <w:marTop w:val="0"/>
      <w:marBottom w:val="0"/>
      <w:divBdr>
        <w:top w:val="none" w:sz="0" w:space="0" w:color="auto"/>
        <w:left w:val="none" w:sz="0" w:space="0" w:color="auto"/>
        <w:bottom w:val="none" w:sz="0" w:space="0" w:color="auto"/>
        <w:right w:val="none" w:sz="0" w:space="0" w:color="auto"/>
      </w:divBdr>
    </w:div>
    <w:div w:id="1965961060">
      <w:bodyDiv w:val="1"/>
      <w:marLeft w:val="0"/>
      <w:marRight w:val="0"/>
      <w:marTop w:val="0"/>
      <w:marBottom w:val="0"/>
      <w:divBdr>
        <w:top w:val="none" w:sz="0" w:space="0" w:color="auto"/>
        <w:left w:val="none" w:sz="0" w:space="0" w:color="auto"/>
        <w:bottom w:val="none" w:sz="0" w:space="0" w:color="auto"/>
        <w:right w:val="none" w:sz="0" w:space="0" w:color="auto"/>
      </w:divBdr>
    </w:div>
    <w:div w:id="1980723371">
      <w:bodyDiv w:val="1"/>
      <w:marLeft w:val="0"/>
      <w:marRight w:val="0"/>
      <w:marTop w:val="0"/>
      <w:marBottom w:val="0"/>
      <w:divBdr>
        <w:top w:val="none" w:sz="0" w:space="0" w:color="auto"/>
        <w:left w:val="none" w:sz="0" w:space="0" w:color="auto"/>
        <w:bottom w:val="none" w:sz="0" w:space="0" w:color="auto"/>
        <w:right w:val="none" w:sz="0" w:space="0" w:color="auto"/>
      </w:divBdr>
    </w:div>
    <w:div w:id="1981184467">
      <w:bodyDiv w:val="1"/>
      <w:marLeft w:val="0"/>
      <w:marRight w:val="0"/>
      <w:marTop w:val="0"/>
      <w:marBottom w:val="0"/>
      <w:divBdr>
        <w:top w:val="none" w:sz="0" w:space="0" w:color="auto"/>
        <w:left w:val="none" w:sz="0" w:space="0" w:color="auto"/>
        <w:bottom w:val="none" w:sz="0" w:space="0" w:color="auto"/>
        <w:right w:val="none" w:sz="0" w:space="0" w:color="auto"/>
      </w:divBdr>
    </w:div>
    <w:div w:id="2046561845">
      <w:bodyDiv w:val="1"/>
      <w:marLeft w:val="0"/>
      <w:marRight w:val="0"/>
      <w:marTop w:val="0"/>
      <w:marBottom w:val="0"/>
      <w:divBdr>
        <w:top w:val="none" w:sz="0" w:space="0" w:color="auto"/>
        <w:left w:val="none" w:sz="0" w:space="0" w:color="auto"/>
        <w:bottom w:val="none" w:sz="0" w:space="0" w:color="auto"/>
        <w:right w:val="none" w:sz="0" w:space="0" w:color="auto"/>
      </w:divBdr>
    </w:div>
    <w:div w:id="2057780878">
      <w:bodyDiv w:val="1"/>
      <w:marLeft w:val="0"/>
      <w:marRight w:val="0"/>
      <w:marTop w:val="0"/>
      <w:marBottom w:val="0"/>
      <w:divBdr>
        <w:top w:val="none" w:sz="0" w:space="0" w:color="auto"/>
        <w:left w:val="none" w:sz="0" w:space="0" w:color="auto"/>
        <w:bottom w:val="none" w:sz="0" w:space="0" w:color="auto"/>
        <w:right w:val="none" w:sz="0" w:space="0" w:color="auto"/>
      </w:divBdr>
    </w:div>
    <w:div w:id="2072923502">
      <w:bodyDiv w:val="1"/>
      <w:marLeft w:val="0"/>
      <w:marRight w:val="0"/>
      <w:marTop w:val="0"/>
      <w:marBottom w:val="0"/>
      <w:divBdr>
        <w:top w:val="none" w:sz="0" w:space="0" w:color="auto"/>
        <w:left w:val="none" w:sz="0" w:space="0" w:color="auto"/>
        <w:bottom w:val="none" w:sz="0" w:space="0" w:color="auto"/>
        <w:right w:val="none" w:sz="0" w:space="0" w:color="auto"/>
      </w:divBdr>
    </w:div>
    <w:div w:id="2106806918">
      <w:bodyDiv w:val="1"/>
      <w:marLeft w:val="0"/>
      <w:marRight w:val="0"/>
      <w:marTop w:val="0"/>
      <w:marBottom w:val="0"/>
      <w:divBdr>
        <w:top w:val="none" w:sz="0" w:space="0" w:color="auto"/>
        <w:left w:val="none" w:sz="0" w:space="0" w:color="auto"/>
        <w:bottom w:val="none" w:sz="0" w:space="0" w:color="auto"/>
        <w:right w:val="none" w:sz="0" w:space="0" w:color="auto"/>
      </w:divBdr>
    </w:div>
    <w:div w:id="2113893458">
      <w:bodyDiv w:val="1"/>
      <w:marLeft w:val="0"/>
      <w:marRight w:val="0"/>
      <w:marTop w:val="0"/>
      <w:marBottom w:val="0"/>
      <w:divBdr>
        <w:top w:val="none" w:sz="0" w:space="0" w:color="auto"/>
        <w:left w:val="none" w:sz="0" w:space="0" w:color="auto"/>
        <w:bottom w:val="none" w:sz="0" w:space="0" w:color="auto"/>
        <w:right w:val="none" w:sz="0" w:space="0" w:color="auto"/>
      </w:divBdr>
    </w:div>
    <w:div w:id="2122142409">
      <w:bodyDiv w:val="1"/>
      <w:marLeft w:val="0"/>
      <w:marRight w:val="0"/>
      <w:marTop w:val="0"/>
      <w:marBottom w:val="0"/>
      <w:divBdr>
        <w:top w:val="none" w:sz="0" w:space="0" w:color="auto"/>
        <w:left w:val="none" w:sz="0" w:space="0" w:color="auto"/>
        <w:bottom w:val="none" w:sz="0" w:space="0" w:color="auto"/>
        <w:right w:val="none" w:sz="0" w:space="0" w:color="auto"/>
      </w:divBdr>
    </w:div>
    <w:div w:id="213833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B3ED4-3F73-44F5-A991-E7D76E84A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1600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Prescribing elements to PBC business plan</vt:lpstr>
    </vt:vector>
  </TitlesOfParts>
  <Company>South Sefton PCT</Company>
  <LinksUpToDate>false</LinksUpToDate>
  <CharactersWithSpaces>10418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Prescribing elements to PBC business plan</dc:title>
  <dc:creator>Sandra Craggs</dc:creator>
  <cp:lastModifiedBy>Sandra Craggs</cp:lastModifiedBy>
  <cp:revision>2</cp:revision>
  <cp:lastPrinted>2014-04-16T08:43:00Z</cp:lastPrinted>
  <dcterms:created xsi:type="dcterms:W3CDTF">2017-11-09T10:18:00Z</dcterms:created>
  <dcterms:modified xsi:type="dcterms:W3CDTF">2017-11-09T10:18:00Z</dcterms:modified>
</cp:coreProperties>
</file>