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030"/>
        <w:gridCol w:w="3021"/>
        <w:gridCol w:w="283"/>
        <w:gridCol w:w="1092"/>
        <w:gridCol w:w="363"/>
        <w:gridCol w:w="283"/>
        <w:gridCol w:w="6"/>
      </w:tblGrid>
      <w:tr w:rsidR="005A533A" w:rsidTr="005A533A">
        <w:trPr>
          <w:gridAfter w:val="1"/>
          <w:wAfter w:w="6" w:type="dxa"/>
        </w:trPr>
        <w:tc>
          <w:tcPr>
            <w:tcW w:w="9639" w:type="dxa"/>
            <w:gridSpan w:val="7"/>
            <w:tcBorders>
              <w:top w:val="single" w:sz="4" w:space="0" w:color="auto"/>
              <w:left w:val="single" w:sz="4" w:space="0" w:color="auto"/>
              <w:bottom w:val="single" w:sz="4" w:space="0" w:color="auto"/>
              <w:right w:val="single" w:sz="4" w:space="0" w:color="auto"/>
            </w:tcBorders>
            <w:shd w:val="clear" w:color="auto" w:fill="31849B" w:themeFill="accent5" w:themeFillShade="BF"/>
          </w:tcPr>
          <w:p w:rsidR="005A533A" w:rsidRDefault="005A533A" w:rsidP="005A533A">
            <w:bookmarkStart w:id="0" w:name="_GoBack"/>
            <w:bookmarkEnd w:id="0"/>
          </w:p>
          <w:p w:rsidR="005A533A" w:rsidRPr="00390957" w:rsidRDefault="005A533A" w:rsidP="005A533A">
            <w:pPr>
              <w:jc w:val="center"/>
              <w:rPr>
                <w:rFonts w:ascii="Arial" w:hAnsi="Arial" w:cs="Arial"/>
                <w:b/>
                <w:color w:val="FFFFFF" w:themeColor="background1"/>
                <w:sz w:val="36"/>
                <w:szCs w:val="36"/>
              </w:rPr>
            </w:pPr>
            <w:r w:rsidRPr="00390957">
              <w:rPr>
                <w:rFonts w:ascii="Arial" w:hAnsi="Arial" w:cs="Arial"/>
                <w:b/>
                <w:color w:val="FFFFFF" w:themeColor="background1"/>
                <w:sz w:val="36"/>
                <w:szCs w:val="36"/>
              </w:rPr>
              <w:t xml:space="preserve">MEETING OF THE </w:t>
            </w:r>
          </w:p>
          <w:p w:rsidR="005A533A" w:rsidRPr="00390957" w:rsidRDefault="005A533A" w:rsidP="005A533A">
            <w:pPr>
              <w:jc w:val="center"/>
              <w:rPr>
                <w:rFonts w:ascii="Arial" w:hAnsi="Arial" w:cs="Arial"/>
                <w:b/>
                <w:color w:val="FFFFFF" w:themeColor="background1"/>
                <w:sz w:val="36"/>
                <w:szCs w:val="36"/>
              </w:rPr>
            </w:pPr>
            <w:r w:rsidRPr="00390957">
              <w:rPr>
                <w:rFonts w:ascii="Arial" w:hAnsi="Arial" w:cs="Arial"/>
                <w:b/>
                <w:color w:val="FFFFFF" w:themeColor="background1"/>
                <w:sz w:val="36"/>
                <w:szCs w:val="36"/>
              </w:rPr>
              <w:t xml:space="preserve">FINANCE </w:t>
            </w:r>
            <w:r>
              <w:rPr>
                <w:rFonts w:ascii="Arial" w:hAnsi="Arial" w:cs="Arial"/>
                <w:b/>
                <w:color w:val="FFFFFF" w:themeColor="background1"/>
                <w:sz w:val="36"/>
                <w:szCs w:val="36"/>
              </w:rPr>
              <w:t xml:space="preserve">AND </w:t>
            </w:r>
            <w:r w:rsidRPr="00390957">
              <w:rPr>
                <w:rFonts w:ascii="Arial" w:hAnsi="Arial" w:cs="Arial"/>
                <w:b/>
                <w:color w:val="FFFFFF" w:themeColor="background1"/>
                <w:sz w:val="36"/>
                <w:szCs w:val="36"/>
              </w:rPr>
              <w:t>RESOURCE COMMITTEE</w:t>
            </w:r>
          </w:p>
          <w:p w:rsidR="005A533A" w:rsidRPr="00390957" w:rsidRDefault="005A533A" w:rsidP="005A533A">
            <w:pPr>
              <w:jc w:val="center"/>
              <w:rPr>
                <w:rFonts w:ascii="Arial" w:hAnsi="Arial" w:cs="Arial"/>
                <w:b/>
                <w:color w:val="FFFFFF" w:themeColor="background1"/>
                <w:sz w:val="36"/>
                <w:szCs w:val="36"/>
              </w:rPr>
            </w:pPr>
            <w:r>
              <w:rPr>
                <w:rFonts w:ascii="Arial" w:hAnsi="Arial" w:cs="Arial"/>
                <w:b/>
                <w:color w:val="FFFFFF" w:themeColor="background1"/>
                <w:sz w:val="36"/>
                <w:szCs w:val="36"/>
              </w:rPr>
              <w:t>February 2017</w:t>
            </w:r>
          </w:p>
          <w:p w:rsidR="005A533A" w:rsidRDefault="005A533A" w:rsidP="005A533A"/>
        </w:tc>
      </w:tr>
      <w:tr w:rsidR="005A533A" w:rsidRPr="00463BC8" w:rsidTr="005A533A">
        <w:trPr>
          <w:gridAfter w:val="1"/>
          <w:wAfter w:w="6" w:type="dxa"/>
          <w:trHeight w:val="758"/>
        </w:trPr>
        <w:tc>
          <w:tcPr>
            <w:tcW w:w="4597" w:type="dxa"/>
            <w:gridSpan w:val="2"/>
            <w:tcBorders>
              <w:top w:val="single" w:sz="4" w:space="0" w:color="auto"/>
              <w:left w:val="single" w:sz="4" w:space="0" w:color="auto"/>
              <w:bottom w:val="single" w:sz="4" w:space="0" w:color="auto"/>
              <w:right w:val="single" w:sz="4" w:space="0" w:color="auto"/>
            </w:tcBorders>
          </w:tcPr>
          <w:p w:rsidR="005A533A" w:rsidRDefault="005A533A" w:rsidP="005A533A">
            <w:pPr>
              <w:rPr>
                <w:rFonts w:ascii="Arial" w:hAnsi="Arial" w:cs="Arial"/>
                <w:b/>
                <w:sz w:val="22"/>
                <w:szCs w:val="22"/>
              </w:rPr>
            </w:pPr>
          </w:p>
          <w:p w:rsidR="005A533A" w:rsidRPr="00463BC8" w:rsidRDefault="005A533A" w:rsidP="005A533A">
            <w:pPr>
              <w:rPr>
                <w:rFonts w:ascii="Arial" w:hAnsi="Arial" w:cs="Arial"/>
                <w:sz w:val="22"/>
                <w:szCs w:val="22"/>
              </w:rPr>
            </w:pPr>
            <w:r w:rsidRPr="00463BC8">
              <w:rPr>
                <w:rFonts w:ascii="Arial" w:hAnsi="Arial" w:cs="Arial"/>
                <w:b/>
                <w:sz w:val="22"/>
                <w:szCs w:val="22"/>
              </w:rPr>
              <w:t>Agenda Item</w:t>
            </w:r>
            <w:r>
              <w:rPr>
                <w:rFonts w:ascii="Arial" w:hAnsi="Arial" w:cs="Arial"/>
                <w:b/>
                <w:sz w:val="22"/>
                <w:szCs w:val="22"/>
              </w:rPr>
              <w:t xml:space="preserve">:  </w:t>
            </w:r>
            <w:r>
              <w:rPr>
                <w:rFonts w:ascii="Arial" w:hAnsi="Arial" w:cs="Arial"/>
                <w:sz w:val="22"/>
                <w:szCs w:val="22"/>
              </w:rPr>
              <w:t>FR</w:t>
            </w:r>
            <w:r w:rsidRPr="00D77802">
              <w:rPr>
                <w:rFonts w:ascii="Arial" w:hAnsi="Arial" w:cs="Arial"/>
                <w:sz w:val="22"/>
                <w:szCs w:val="22"/>
              </w:rPr>
              <w:t>1</w:t>
            </w:r>
            <w:r>
              <w:rPr>
                <w:rFonts w:ascii="Arial" w:hAnsi="Arial" w:cs="Arial"/>
                <w:sz w:val="22"/>
                <w:szCs w:val="22"/>
              </w:rPr>
              <w:t>7</w:t>
            </w:r>
            <w:r w:rsidRPr="00D77802">
              <w:rPr>
                <w:rFonts w:ascii="Arial" w:hAnsi="Arial" w:cs="Arial"/>
                <w:sz w:val="22"/>
                <w:szCs w:val="22"/>
              </w:rPr>
              <w:t>/</w:t>
            </w:r>
            <w:r>
              <w:rPr>
                <w:rFonts w:ascii="Arial" w:hAnsi="Arial" w:cs="Arial"/>
                <w:sz w:val="22"/>
                <w:szCs w:val="22"/>
              </w:rPr>
              <w:t>28</w:t>
            </w:r>
          </w:p>
        </w:tc>
        <w:tc>
          <w:tcPr>
            <w:tcW w:w="5042" w:type="dxa"/>
            <w:gridSpan w:val="5"/>
            <w:vMerge w:val="restart"/>
            <w:tcBorders>
              <w:top w:val="single" w:sz="4" w:space="0" w:color="auto"/>
              <w:left w:val="single" w:sz="4" w:space="0" w:color="auto"/>
              <w:right w:val="single" w:sz="4" w:space="0" w:color="auto"/>
            </w:tcBorders>
          </w:tcPr>
          <w:p w:rsidR="005A533A" w:rsidRDefault="005A533A" w:rsidP="005A533A">
            <w:pPr>
              <w:rPr>
                <w:rFonts w:ascii="Arial" w:hAnsi="Arial" w:cs="Arial"/>
                <w:b/>
                <w:sz w:val="22"/>
                <w:szCs w:val="22"/>
              </w:rPr>
            </w:pPr>
          </w:p>
          <w:p w:rsidR="005A533A" w:rsidRDefault="005A533A" w:rsidP="005A533A">
            <w:pPr>
              <w:rPr>
                <w:rFonts w:ascii="Arial" w:hAnsi="Arial" w:cs="Arial"/>
                <w:b/>
                <w:sz w:val="22"/>
                <w:szCs w:val="22"/>
              </w:rPr>
            </w:pPr>
            <w:r w:rsidRPr="00463BC8">
              <w:rPr>
                <w:rFonts w:ascii="Arial" w:hAnsi="Arial" w:cs="Arial"/>
                <w:b/>
                <w:sz w:val="22"/>
                <w:szCs w:val="22"/>
              </w:rPr>
              <w:t>Author of the Paper:</w:t>
            </w:r>
            <w:r>
              <w:rPr>
                <w:rFonts w:ascii="Arial" w:hAnsi="Arial" w:cs="Arial"/>
                <w:b/>
                <w:sz w:val="22"/>
                <w:szCs w:val="22"/>
              </w:rPr>
              <w:t xml:space="preserve"> </w:t>
            </w:r>
          </w:p>
          <w:p w:rsidR="005A533A" w:rsidRDefault="005A533A" w:rsidP="005A533A">
            <w:pPr>
              <w:rPr>
                <w:rFonts w:ascii="Arial" w:hAnsi="Arial" w:cs="Arial"/>
                <w:b/>
                <w:sz w:val="22"/>
                <w:szCs w:val="22"/>
              </w:rPr>
            </w:pPr>
          </w:p>
          <w:p w:rsidR="005A533A" w:rsidRPr="00310A5E" w:rsidRDefault="005A533A" w:rsidP="005A533A">
            <w:pPr>
              <w:jc w:val="both"/>
              <w:rPr>
                <w:rFonts w:ascii="Arial" w:hAnsi="Arial" w:cs="Arial"/>
                <w:sz w:val="22"/>
                <w:szCs w:val="22"/>
              </w:rPr>
            </w:pPr>
            <w:r w:rsidRPr="00310A5E">
              <w:rPr>
                <w:rFonts w:ascii="Arial" w:hAnsi="Arial" w:cs="Arial"/>
                <w:sz w:val="22"/>
                <w:szCs w:val="22"/>
              </w:rPr>
              <w:t>Martin McDowell</w:t>
            </w:r>
          </w:p>
          <w:p w:rsidR="005A533A" w:rsidRPr="00310A5E" w:rsidRDefault="005A533A" w:rsidP="005A533A">
            <w:pPr>
              <w:jc w:val="both"/>
              <w:rPr>
                <w:rFonts w:ascii="Arial" w:hAnsi="Arial" w:cs="Arial"/>
                <w:sz w:val="22"/>
                <w:szCs w:val="22"/>
              </w:rPr>
            </w:pPr>
            <w:r w:rsidRPr="00310A5E">
              <w:rPr>
                <w:rFonts w:ascii="Arial" w:hAnsi="Arial" w:cs="Arial"/>
                <w:sz w:val="22"/>
                <w:szCs w:val="22"/>
              </w:rPr>
              <w:t>Chief Finance Officer</w:t>
            </w:r>
          </w:p>
          <w:p w:rsidR="005A533A" w:rsidRPr="00310A5E" w:rsidRDefault="005A533A" w:rsidP="005A533A">
            <w:pPr>
              <w:jc w:val="both"/>
              <w:rPr>
                <w:rFonts w:ascii="Arial" w:hAnsi="Arial" w:cs="Arial"/>
                <w:sz w:val="22"/>
                <w:szCs w:val="22"/>
              </w:rPr>
            </w:pPr>
            <w:r w:rsidRPr="00310A5E">
              <w:rPr>
                <w:rFonts w:ascii="Arial" w:hAnsi="Arial" w:cs="Arial"/>
                <w:sz w:val="22"/>
                <w:szCs w:val="22"/>
              </w:rPr>
              <w:t xml:space="preserve">Email: </w:t>
            </w:r>
            <w:hyperlink r:id="rId9" w:history="1">
              <w:r w:rsidRPr="00310A5E">
                <w:rPr>
                  <w:rStyle w:val="Hyperlink"/>
                  <w:rFonts w:ascii="Arial" w:hAnsi="Arial" w:cs="Arial"/>
                  <w:sz w:val="22"/>
                  <w:szCs w:val="22"/>
                </w:rPr>
                <w:t>martin.mcdowell@southseftonccg.nhs.uk</w:t>
              </w:r>
            </w:hyperlink>
            <w:r w:rsidRPr="00310A5E">
              <w:rPr>
                <w:rFonts w:ascii="Arial" w:hAnsi="Arial" w:cs="Arial"/>
                <w:sz w:val="22"/>
                <w:szCs w:val="22"/>
              </w:rPr>
              <w:t xml:space="preserve"> </w:t>
            </w:r>
          </w:p>
          <w:p w:rsidR="005A533A" w:rsidRPr="00463BC8" w:rsidRDefault="005A533A" w:rsidP="005A533A">
            <w:pPr>
              <w:rPr>
                <w:rFonts w:ascii="Arial" w:hAnsi="Arial" w:cs="Arial"/>
                <w:sz w:val="22"/>
                <w:szCs w:val="22"/>
              </w:rPr>
            </w:pPr>
            <w:r w:rsidRPr="00310A5E">
              <w:rPr>
                <w:rFonts w:ascii="Arial" w:hAnsi="Arial" w:cs="Arial"/>
                <w:sz w:val="22"/>
                <w:szCs w:val="22"/>
              </w:rPr>
              <w:t xml:space="preserve">Tel: </w:t>
            </w:r>
            <w:r w:rsidRPr="00310A5E">
              <w:rPr>
                <w:rFonts w:ascii="Arial" w:hAnsi="Arial" w:cs="Arial"/>
                <w:sz w:val="22"/>
                <w:szCs w:val="22"/>
              </w:rPr>
              <w:tab/>
              <w:t>0151 247 7065</w:t>
            </w:r>
          </w:p>
        </w:tc>
      </w:tr>
      <w:tr w:rsidR="005A533A" w:rsidRPr="00463BC8" w:rsidTr="005A533A">
        <w:trPr>
          <w:gridAfter w:val="1"/>
          <w:wAfter w:w="6" w:type="dxa"/>
          <w:trHeight w:val="757"/>
        </w:trPr>
        <w:tc>
          <w:tcPr>
            <w:tcW w:w="4597" w:type="dxa"/>
            <w:gridSpan w:val="2"/>
            <w:tcBorders>
              <w:top w:val="single" w:sz="4" w:space="0" w:color="auto"/>
              <w:left w:val="single" w:sz="4" w:space="0" w:color="auto"/>
              <w:bottom w:val="single" w:sz="4" w:space="0" w:color="auto"/>
              <w:right w:val="single" w:sz="4" w:space="0" w:color="auto"/>
            </w:tcBorders>
          </w:tcPr>
          <w:p w:rsidR="005A533A" w:rsidRDefault="005A533A" w:rsidP="005A533A">
            <w:pPr>
              <w:rPr>
                <w:rFonts w:ascii="Arial" w:hAnsi="Arial" w:cs="Arial"/>
                <w:b/>
                <w:sz w:val="22"/>
                <w:szCs w:val="22"/>
              </w:rPr>
            </w:pPr>
          </w:p>
          <w:p w:rsidR="005A533A" w:rsidRPr="00D77802" w:rsidRDefault="005A533A" w:rsidP="005A533A">
            <w:pPr>
              <w:rPr>
                <w:rFonts w:ascii="Arial" w:hAnsi="Arial" w:cs="Arial"/>
                <w:sz w:val="22"/>
                <w:szCs w:val="22"/>
              </w:rPr>
            </w:pPr>
            <w:r w:rsidRPr="00463BC8">
              <w:rPr>
                <w:rFonts w:ascii="Arial" w:hAnsi="Arial" w:cs="Arial"/>
                <w:b/>
                <w:sz w:val="22"/>
                <w:szCs w:val="22"/>
              </w:rPr>
              <w:t>Report</w:t>
            </w:r>
            <w:r>
              <w:rPr>
                <w:rFonts w:ascii="Arial" w:hAnsi="Arial" w:cs="Arial"/>
                <w:b/>
                <w:sz w:val="22"/>
                <w:szCs w:val="22"/>
              </w:rPr>
              <w:t xml:space="preserve"> date</w:t>
            </w:r>
            <w:r w:rsidRPr="00463BC8">
              <w:rPr>
                <w:rFonts w:ascii="Arial" w:hAnsi="Arial" w:cs="Arial"/>
                <w:b/>
                <w:sz w:val="22"/>
                <w:szCs w:val="22"/>
              </w:rPr>
              <w:t xml:space="preserve">: </w:t>
            </w:r>
            <w:r>
              <w:rPr>
                <w:rFonts w:ascii="Arial" w:hAnsi="Arial" w:cs="Arial"/>
                <w:sz w:val="22"/>
                <w:szCs w:val="22"/>
              </w:rPr>
              <w:t>February 2017</w:t>
            </w:r>
          </w:p>
          <w:p w:rsidR="005A533A" w:rsidRPr="00463BC8" w:rsidRDefault="005A533A" w:rsidP="005A533A">
            <w:pPr>
              <w:rPr>
                <w:rFonts w:ascii="Arial" w:hAnsi="Arial" w:cs="Arial"/>
                <w:b/>
                <w:sz w:val="22"/>
                <w:szCs w:val="22"/>
              </w:rPr>
            </w:pPr>
          </w:p>
        </w:tc>
        <w:tc>
          <w:tcPr>
            <w:tcW w:w="5042" w:type="dxa"/>
            <w:gridSpan w:val="5"/>
            <w:vMerge/>
            <w:tcBorders>
              <w:left w:val="single" w:sz="4" w:space="0" w:color="auto"/>
              <w:bottom w:val="single" w:sz="4" w:space="0" w:color="auto"/>
              <w:right w:val="single" w:sz="4" w:space="0" w:color="auto"/>
            </w:tcBorders>
          </w:tcPr>
          <w:p w:rsidR="005A533A" w:rsidRPr="00463BC8" w:rsidRDefault="005A533A" w:rsidP="005A533A">
            <w:pPr>
              <w:rPr>
                <w:rFonts w:ascii="Arial" w:hAnsi="Arial" w:cs="Arial"/>
                <w:b/>
                <w:sz w:val="22"/>
                <w:szCs w:val="22"/>
              </w:rPr>
            </w:pPr>
          </w:p>
        </w:tc>
      </w:tr>
      <w:tr w:rsidR="005A533A" w:rsidRPr="00463BC8" w:rsidTr="005A533A">
        <w:trPr>
          <w:gridAfter w:val="1"/>
          <w:wAfter w:w="6" w:type="dxa"/>
        </w:trPr>
        <w:tc>
          <w:tcPr>
            <w:tcW w:w="9639" w:type="dxa"/>
            <w:gridSpan w:val="7"/>
            <w:tcBorders>
              <w:top w:val="single" w:sz="4" w:space="0" w:color="auto"/>
              <w:left w:val="single" w:sz="4" w:space="0" w:color="auto"/>
              <w:bottom w:val="single" w:sz="4" w:space="0" w:color="auto"/>
              <w:right w:val="single" w:sz="4" w:space="0" w:color="auto"/>
            </w:tcBorders>
          </w:tcPr>
          <w:p w:rsidR="005A533A" w:rsidRDefault="005A533A" w:rsidP="005A533A">
            <w:pPr>
              <w:ind w:left="720" w:hanging="720"/>
              <w:rPr>
                <w:rFonts w:ascii="Arial" w:hAnsi="Arial" w:cs="Arial"/>
                <w:b/>
                <w:sz w:val="22"/>
                <w:szCs w:val="22"/>
              </w:rPr>
            </w:pPr>
          </w:p>
          <w:p w:rsidR="005A533A" w:rsidRPr="00144C0C" w:rsidRDefault="005A533A" w:rsidP="005A533A">
            <w:pPr>
              <w:ind w:left="720" w:hanging="720"/>
              <w:rPr>
                <w:rFonts w:ascii="Arial" w:hAnsi="Arial" w:cs="Arial"/>
                <w:sz w:val="22"/>
                <w:szCs w:val="22"/>
              </w:rPr>
            </w:pPr>
            <w:r w:rsidRPr="00463BC8">
              <w:rPr>
                <w:rFonts w:ascii="Arial" w:hAnsi="Arial" w:cs="Arial"/>
                <w:b/>
                <w:sz w:val="22"/>
                <w:szCs w:val="22"/>
              </w:rPr>
              <w:t>Title</w:t>
            </w:r>
            <w:r>
              <w:rPr>
                <w:rFonts w:ascii="Arial" w:hAnsi="Arial" w:cs="Arial"/>
                <w:b/>
                <w:sz w:val="22"/>
                <w:szCs w:val="22"/>
              </w:rPr>
              <w:t xml:space="preserve">:  </w:t>
            </w:r>
            <w:r w:rsidRPr="006C57FA">
              <w:rPr>
                <w:rFonts w:ascii="Arial" w:hAnsi="Arial" w:cs="Arial"/>
                <w:sz w:val="22"/>
                <w:szCs w:val="22"/>
              </w:rPr>
              <w:t xml:space="preserve">Financial Position of NHS South Sefton Clinical Commissioning Group – Month </w:t>
            </w:r>
            <w:r>
              <w:rPr>
                <w:rFonts w:ascii="Arial" w:hAnsi="Arial" w:cs="Arial"/>
                <w:sz w:val="22"/>
                <w:szCs w:val="22"/>
              </w:rPr>
              <w:t>10</w:t>
            </w:r>
          </w:p>
          <w:p w:rsidR="005A533A" w:rsidRPr="00463BC8" w:rsidRDefault="005A533A" w:rsidP="005A533A">
            <w:pPr>
              <w:rPr>
                <w:rFonts w:ascii="Arial" w:hAnsi="Arial" w:cs="Arial"/>
                <w:sz w:val="22"/>
                <w:szCs w:val="22"/>
              </w:rPr>
            </w:pPr>
          </w:p>
        </w:tc>
      </w:tr>
      <w:tr w:rsidR="005A533A" w:rsidRPr="00463BC8" w:rsidTr="005A533A">
        <w:trPr>
          <w:gridAfter w:val="1"/>
          <w:wAfter w:w="6" w:type="dxa"/>
        </w:trPr>
        <w:tc>
          <w:tcPr>
            <w:tcW w:w="9639" w:type="dxa"/>
            <w:gridSpan w:val="7"/>
            <w:tcBorders>
              <w:top w:val="single" w:sz="4" w:space="0" w:color="auto"/>
              <w:left w:val="single" w:sz="4" w:space="0" w:color="auto"/>
              <w:bottom w:val="single" w:sz="4" w:space="0" w:color="auto"/>
              <w:right w:val="single" w:sz="4" w:space="0" w:color="auto"/>
            </w:tcBorders>
          </w:tcPr>
          <w:p w:rsidR="005A533A" w:rsidRDefault="005A533A" w:rsidP="005A533A">
            <w:pPr>
              <w:rPr>
                <w:rFonts w:ascii="Arial" w:hAnsi="Arial" w:cs="Arial"/>
                <w:b/>
                <w:sz w:val="22"/>
                <w:szCs w:val="22"/>
              </w:rPr>
            </w:pPr>
          </w:p>
          <w:p w:rsidR="005A533A" w:rsidRDefault="005A533A" w:rsidP="005A533A">
            <w:pPr>
              <w:rPr>
                <w:rFonts w:ascii="Arial" w:hAnsi="Arial" w:cs="Arial"/>
                <w:b/>
                <w:sz w:val="22"/>
                <w:szCs w:val="22"/>
              </w:rPr>
            </w:pPr>
            <w:r>
              <w:rPr>
                <w:rFonts w:ascii="Arial" w:hAnsi="Arial" w:cs="Arial"/>
                <w:b/>
                <w:sz w:val="22"/>
                <w:szCs w:val="22"/>
              </w:rPr>
              <w:t>Summary</w:t>
            </w:r>
            <w:r w:rsidRPr="00463BC8">
              <w:rPr>
                <w:rFonts w:ascii="Arial" w:hAnsi="Arial" w:cs="Arial"/>
                <w:b/>
                <w:sz w:val="22"/>
                <w:szCs w:val="22"/>
              </w:rPr>
              <w:t>/Key Issues:</w:t>
            </w:r>
            <w:r>
              <w:rPr>
                <w:rFonts w:ascii="Arial" w:hAnsi="Arial" w:cs="Arial"/>
                <w:b/>
                <w:sz w:val="22"/>
                <w:szCs w:val="22"/>
              </w:rPr>
              <w:t xml:space="preserve"> </w:t>
            </w:r>
          </w:p>
          <w:p w:rsidR="005A533A" w:rsidRPr="00434532" w:rsidRDefault="005A533A" w:rsidP="005A533A">
            <w:pPr>
              <w:jc w:val="both"/>
              <w:rPr>
                <w:rFonts w:ascii="Arial" w:hAnsi="Arial" w:cs="Arial"/>
                <w:sz w:val="22"/>
                <w:szCs w:val="22"/>
              </w:rPr>
            </w:pPr>
            <w:r w:rsidRPr="00434532">
              <w:rPr>
                <w:rFonts w:ascii="Arial" w:hAnsi="Arial" w:cs="Arial"/>
                <w:sz w:val="22"/>
                <w:szCs w:val="22"/>
              </w:rPr>
              <w:t xml:space="preserve">This paper presents the </w:t>
            </w:r>
            <w:r>
              <w:rPr>
                <w:rFonts w:ascii="Arial" w:hAnsi="Arial" w:cs="Arial"/>
                <w:sz w:val="22"/>
                <w:szCs w:val="22"/>
              </w:rPr>
              <w:t>Finance and Resource Committee</w:t>
            </w:r>
            <w:r w:rsidRPr="00434532">
              <w:rPr>
                <w:rFonts w:ascii="Arial" w:hAnsi="Arial" w:cs="Arial"/>
                <w:sz w:val="22"/>
                <w:szCs w:val="22"/>
              </w:rPr>
              <w:t xml:space="preserve"> with an overview of the year</w:t>
            </w:r>
            <w:r>
              <w:rPr>
                <w:rFonts w:ascii="Arial" w:hAnsi="Arial" w:cs="Arial"/>
                <w:sz w:val="22"/>
                <w:szCs w:val="22"/>
              </w:rPr>
              <w:t xml:space="preserve"> to date</w:t>
            </w:r>
            <w:r w:rsidRPr="00434532">
              <w:rPr>
                <w:rFonts w:ascii="Arial" w:hAnsi="Arial" w:cs="Arial"/>
                <w:sz w:val="22"/>
                <w:szCs w:val="22"/>
              </w:rPr>
              <w:t xml:space="preserve"> financial position for NHS South</w:t>
            </w:r>
            <w:r>
              <w:rPr>
                <w:rFonts w:ascii="Arial" w:hAnsi="Arial" w:cs="Arial"/>
                <w:sz w:val="22"/>
                <w:szCs w:val="22"/>
              </w:rPr>
              <w:t xml:space="preserve"> Sefton </w:t>
            </w:r>
            <w:r w:rsidRPr="00434532">
              <w:rPr>
                <w:rFonts w:ascii="Arial" w:hAnsi="Arial" w:cs="Arial"/>
                <w:sz w:val="22"/>
                <w:szCs w:val="22"/>
              </w:rPr>
              <w:t>Clini</w:t>
            </w:r>
            <w:r>
              <w:rPr>
                <w:rFonts w:ascii="Arial" w:hAnsi="Arial" w:cs="Arial"/>
                <w:sz w:val="22"/>
                <w:szCs w:val="22"/>
              </w:rPr>
              <w:t>cal Commissioning Group as at 31 January 2017</w:t>
            </w:r>
            <w:r w:rsidRPr="00434532">
              <w:rPr>
                <w:rFonts w:ascii="Arial" w:hAnsi="Arial" w:cs="Arial"/>
                <w:sz w:val="22"/>
                <w:szCs w:val="22"/>
              </w:rPr>
              <w:t>.</w:t>
            </w:r>
          </w:p>
          <w:p w:rsidR="005A533A" w:rsidRPr="00434532" w:rsidRDefault="005A533A" w:rsidP="005A533A">
            <w:pPr>
              <w:jc w:val="both"/>
              <w:rPr>
                <w:rFonts w:ascii="Arial" w:hAnsi="Arial" w:cs="Arial"/>
                <w:sz w:val="22"/>
                <w:szCs w:val="22"/>
              </w:rPr>
            </w:pPr>
          </w:p>
          <w:p w:rsidR="005A533A" w:rsidRDefault="005A533A" w:rsidP="005A533A">
            <w:pPr>
              <w:jc w:val="both"/>
              <w:rPr>
                <w:rFonts w:ascii="Arial" w:hAnsi="Arial" w:cs="Arial"/>
                <w:sz w:val="22"/>
                <w:szCs w:val="22"/>
              </w:rPr>
            </w:pPr>
            <w:r w:rsidRPr="00833D62">
              <w:rPr>
                <w:rFonts w:ascii="Arial" w:hAnsi="Arial" w:cs="Arial"/>
                <w:sz w:val="22"/>
                <w:szCs w:val="22"/>
              </w:rPr>
              <w:t>Cost p</w:t>
            </w:r>
            <w:r>
              <w:rPr>
                <w:rFonts w:ascii="Arial" w:hAnsi="Arial" w:cs="Arial"/>
                <w:sz w:val="22"/>
                <w:szCs w:val="22"/>
              </w:rPr>
              <w:t>ressures continue to affect the position in Month 10 and delivery of the QIPP plan is below target, these factors have</w:t>
            </w:r>
            <w:r w:rsidRPr="00833D62">
              <w:rPr>
                <w:rFonts w:ascii="Arial" w:hAnsi="Arial" w:cs="Arial"/>
                <w:sz w:val="22"/>
                <w:szCs w:val="22"/>
              </w:rPr>
              <w:t xml:space="preserve"> led to </w:t>
            </w:r>
            <w:r>
              <w:rPr>
                <w:rFonts w:ascii="Arial" w:hAnsi="Arial" w:cs="Arial"/>
                <w:sz w:val="22"/>
                <w:szCs w:val="22"/>
              </w:rPr>
              <w:t>deterioration</w:t>
            </w:r>
            <w:r w:rsidRPr="00833D62">
              <w:rPr>
                <w:rFonts w:ascii="Arial" w:hAnsi="Arial" w:cs="Arial"/>
                <w:sz w:val="22"/>
                <w:szCs w:val="22"/>
              </w:rPr>
              <w:t xml:space="preserve"> in </w:t>
            </w:r>
            <w:r>
              <w:rPr>
                <w:rFonts w:ascii="Arial" w:hAnsi="Arial" w:cs="Arial"/>
                <w:sz w:val="22"/>
                <w:szCs w:val="22"/>
              </w:rPr>
              <w:t xml:space="preserve">the financial position and year </w:t>
            </w:r>
            <w:r w:rsidRPr="00833D62">
              <w:rPr>
                <w:rFonts w:ascii="Arial" w:hAnsi="Arial" w:cs="Arial"/>
                <w:sz w:val="22"/>
                <w:szCs w:val="22"/>
              </w:rPr>
              <w:t>end forecast</w:t>
            </w:r>
            <w:r>
              <w:rPr>
                <w:rFonts w:ascii="Arial" w:hAnsi="Arial" w:cs="Arial"/>
                <w:sz w:val="22"/>
                <w:szCs w:val="22"/>
              </w:rPr>
              <w:t>. T</w:t>
            </w:r>
            <w:r w:rsidRPr="00833D62">
              <w:rPr>
                <w:rFonts w:ascii="Arial" w:hAnsi="Arial" w:cs="Arial"/>
                <w:sz w:val="22"/>
                <w:szCs w:val="22"/>
              </w:rPr>
              <w:t xml:space="preserve">he revised forecast </w:t>
            </w:r>
            <w:r>
              <w:rPr>
                <w:rFonts w:ascii="Arial" w:hAnsi="Arial" w:cs="Arial"/>
                <w:sz w:val="22"/>
                <w:szCs w:val="22"/>
              </w:rPr>
              <w:t>is</w:t>
            </w:r>
            <w:r w:rsidRPr="00833D62">
              <w:rPr>
                <w:rFonts w:ascii="Arial" w:hAnsi="Arial" w:cs="Arial"/>
                <w:sz w:val="22"/>
                <w:szCs w:val="22"/>
              </w:rPr>
              <w:t xml:space="preserve"> </w:t>
            </w:r>
            <w:r>
              <w:rPr>
                <w:rFonts w:ascii="Arial" w:hAnsi="Arial" w:cs="Arial"/>
                <w:sz w:val="22"/>
                <w:szCs w:val="22"/>
              </w:rPr>
              <w:t xml:space="preserve">a deficit of </w:t>
            </w:r>
            <w:r w:rsidRPr="00833D62">
              <w:rPr>
                <w:rFonts w:ascii="Arial" w:hAnsi="Arial" w:cs="Arial"/>
                <w:sz w:val="22"/>
                <w:szCs w:val="22"/>
              </w:rPr>
              <w:t>£</w:t>
            </w:r>
            <w:r>
              <w:rPr>
                <w:rFonts w:ascii="Arial" w:hAnsi="Arial" w:cs="Arial"/>
                <w:sz w:val="22"/>
                <w:szCs w:val="22"/>
              </w:rPr>
              <w:t>2.332m which reflects known risks and expected delivery of QIPP savings for the remainder of the financial year.  The forecast position is dependent on delivery of a further £1.331m QIPP savings as well as mitigation of any further risks.</w:t>
            </w:r>
          </w:p>
          <w:p w:rsidR="005A533A" w:rsidRPr="00DB042F" w:rsidRDefault="005A533A" w:rsidP="005A533A">
            <w:pPr>
              <w:rPr>
                <w:rFonts w:ascii="Arial" w:hAnsi="Arial" w:cs="Arial"/>
                <w:sz w:val="22"/>
                <w:szCs w:val="22"/>
              </w:rPr>
            </w:pPr>
          </w:p>
        </w:tc>
      </w:tr>
      <w:tr w:rsidR="005A533A" w:rsidRPr="00463BC8" w:rsidTr="005A533A">
        <w:trPr>
          <w:gridAfter w:val="1"/>
          <w:wAfter w:w="6" w:type="dxa"/>
          <w:trHeight w:val="255"/>
        </w:trPr>
        <w:tc>
          <w:tcPr>
            <w:tcW w:w="7901" w:type="dxa"/>
            <w:gridSpan w:val="4"/>
            <w:tcBorders>
              <w:top w:val="single" w:sz="4" w:space="0" w:color="auto"/>
              <w:left w:val="single" w:sz="4" w:space="0" w:color="auto"/>
              <w:bottom w:val="nil"/>
              <w:right w:val="nil"/>
            </w:tcBorders>
          </w:tcPr>
          <w:p w:rsidR="005A533A" w:rsidRDefault="005A533A" w:rsidP="005A533A">
            <w:pPr>
              <w:rPr>
                <w:rFonts w:ascii="Arial" w:hAnsi="Arial" w:cs="Arial"/>
                <w:b/>
                <w:sz w:val="22"/>
                <w:szCs w:val="22"/>
              </w:rPr>
            </w:pPr>
          </w:p>
        </w:tc>
        <w:tc>
          <w:tcPr>
            <w:tcW w:w="1092" w:type="dxa"/>
            <w:tcBorders>
              <w:top w:val="single" w:sz="4" w:space="0" w:color="auto"/>
              <w:left w:val="nil"/>
              <w:bottom w:val="nil"/>
              <w:right w:val="nil"/>
            </w:tcBorders>
          </w:tcPr>
          <w:p w:rsidR="005A533A" w:rsidRDefault="005A533A" w:rsidP="005A533A">
            <w:pPr>
              <w:rPr>
                <w:rFonts w:ascii="Arial" w:hAnsi="Arial" w:cs="Arial"/>
                <w:sz w:val="22"/>
                <w:szCs w:val="22"/>
              </w:rPr>
            </w:pPr>
          </w:p>
        </w:tc>
        <w:tc>
          <w:tcPr>
            <w:tcW w:w="363" w:type="dxa"/>
            <w:tcBorders>
              <w:top w:val="single" w:sz="4" w:space="0" w:color="auto"/>
              <w:left w:val="nil"/>
              <w:bottom w:val="single" w:sz="4" w:space="0" w:color="auto"/>
              <w:right w:val="nil"/>
            </w:tcBorders>
          </w:tcPr>
          <w:p w:rsidR="005A533A" w:rsidRPr="00763F73" w:rsidRDefault="005A533A" w:rsidP="005A533A">
            <w:pPr>
              <w:jc w:val="center"/>
              <w:rPr>
                <w:rFonts w:ascii="Arial" w:hAnsi="Arial" w:cs="Arial"/>
                <w:i/>
                <w:sz w:val="22"/>
                <w:szCs w:val="22"/>
              </w:rPr>
            </w:pPr>
          </w:p>
        </w:tc>
        <w:tc>
          <w:tcPr>
            <w:tcW w:w="283" w:type="dxa"/>
            <w:tcBorders>
              <w:top w:val="single" w:sz="4" w:space="0" w:color="auto"/>
              <w:left w:val="nil"/>
              <w:bottom w:val="nil"/>
              <w:right w:val="single" w:sz="4" w:space="0" w:color="auto"/>
            </w:tcBorders>
          </w:tcPr>
          <w:p w:rsidR="005A533A" w:rsidRPr="00463BC8" w:rsidRDefault="005A533A" w:rsidP="005A533A">
            <w:pPr>
              <w:rPr>
                <w:rFonts w:ascii="Arial" w:hAnsi="Arial" w:cs="Arial"/>
                <w:sz w:val="22"/>
                <w:szCs w:val="22"/>
              </w:rPr>
            </w:pPr>
          </w:p>
        </w:tc>
      </w:tr>
      <w:tr w:rsidR="005A533A" w:rsidRPr="00463BC8" w:rsidTr="005A533A">
        <w:trPr>
          <w:gridAfter w:val="1"/>
          <w:wAfter w:w="6" w:type="dxa"/>
          <w:trHeight w:val="255"/>
        </w:trPr>
        <w:tc>
          <w:tcPr>
            <w:tcW w:w="7618" w:type="dxa"/>
            <w:gridSpan w:val="3"/>
            <w:vMerge w:val="restart"/>
            <w:tcBorders>
              <w:top w:val="nil"/>
              <w:left w:val="single" w:sz="4" w:space="0" w:color="auto"/>
              <w:bottom w:val="nil"/>
              <w:right w:val="nil"/>
            </w:tcBorders>
          </w:tcPr>
          <w:p w:rsidR="005A533A" w:rsidRDefault="005A533A" w:rsidP="005A533A">
            <w:pPr>
              <w:rPr>
                <w:rFonts w:ascii="Arial" w:hAnsi="Arial" w:cs="Arial"/>
                <w:b/>
                <w:sz w:val="22"/>
                <w:szCs w:val="22"/>
              </w:rPr>
            </w:pPr>
            <w:r>
              <w:rPr>
                <w:rFonts w:ascii="Arial" w:hAnsi="Arial" w:cs="Arial"/>
                <w:b/>
                <w:sz w:val="22"/>
                <w:szCs w:val="22"/>
              </w:rPr>
              <w:t>Recommendation</w:t>
            </w:r>
          </w:p>
          <w:p w:rsidR="005A533A" w:rsidRDefault="005A533A" w:rsidP="005A533A">
            <w:pPr>
              <w:rPr>
                <w:rFonts w:ascii="Arial" w:hAnsi="Arial" w:cs="Arial"/>
                <w:b/>
                <w:sz w:val="22"/>
                <w:szCs w:val="22"/>
              </w:rPr>
            </w:pPr>
          </w:p>
          <w:p w:rsidR="005A533A" w:rsidRPr="00B31340" w:rsidRDefault="005A533A" w:rsidP="005A533A">
            <w:pPr>
              <w:jc w:val="both"/>
              <w:rPr>
                <w:rFonts w:ascii="Arial" w:hAnsi="Arial" w:cs="Arial"/>
                <w:sz w:val="22"/>
                <w:szCs w:val="22"/>
              </w:rPr>
            </w:pPr>
            <w:r w:rsidRPr="00B31340">
              <w:rPr>
                <w:rFonts w:ascii="Arial" w:hAnsi="Arial" w:cs="Arial"/>
                <w:sz w:val="22"/>
                <w:szCs w:val="22"/>
              </w:rPr>
              <w:t>The Finance and Resource Committee is asked to receive this report and</w:t>
            </w:r>
            <w:r>
              <w:rPr>
                <w:rFonts w:ascii="Arial" w:hAnsi="Arial" w:cs="Arial"/>
                <w:sz w:val="22"/>
                <w:szCs w:val="22"/>
              </w:rPr>
              <w:t xml:space="preserve"> </w:t>
            </w:r>
            <w:r w:rsidRPr="00B31340">
              <w:rPr>
                <w:rFonts w:ascii="Arial" w:hAnsi="Arial" w:cs="Arial"/>
                <w:sz w:val="22"/>
                <w:szCs w:val="22"/>
              </w:rPr>
              <w:t>take note particularly that:</w:t>
            </w:r>
          </w:p>
          <w:p w:rsidR="005A533A" w:rsidRPr="00B31340" w:rsidRDefault="005A533A" w:rsidP="005A533A">
            <w:pPr>
              <w:jc w:val="both"/>
              <w:rPr>
                <w:rFonts w:ascii="Arial" w:hAnsi="Arial" w:cs="Arial"/>
                <w:sz w:val="22"/>
                <w:szCs w:val="22"/>
              </w:rPr>
            </w:pPr>
          </w:p>
          <w:p w:rsidR="005A533A" w:rsidRPr="00E05F1E" w:rsidRDefault="005A533A" w:rsidP="005A533A">
            <w:pPr>
              <w:pStyle w:val="ListParagraph"/>
              <w:numPr>
                <w:ilvl w:val="0"/>
                <w:numId w:val="13"/>
              </w:numPr>
              <w:ind w:left="720"/>
              <w:jc w:val="both"/>
              <w:rPr>
                <w:rFonts w:ascii="Arial" w:hAnsi="Arial" w:cs="Arial"/>
                <w:sz w:val="22"/>
                <w:szCs w:val="22"/>
              </w:rPr>
            </w:pPr>
            <w:r w:rsidRPr="00E05F1E">
              <w:rPr>
                <w:rFonts w:ascii="Arial" w:hAnsi="Arial" w:cs="Arial"/>
                <w:sz w:val="22"/>
                <w:szCs w:val="22"/>
              </w:rPr>
              <w:t xml:space="preserve">Due to emerging pressures, the revised surplus target for the CCG is </w:t>
            </w:r>
            <w:r w:rsidRPr="00E05F1E">
              <w:rPr>
                <w:rFonts w:ascii="Arial" w:hAnsi="Arial" w:cs="Arial"/>
                <w:bCs/>
                <w:sz w:val="22"/>
                <w:szCs w:val="22"/>
              </w:rPr>
              <w:t>£1.250m.</w:t>
            </w:r>
          </w:p>
          <w:p w:rsidR="005A533A" w:rsidRPr="00E05F1E" w:rsidRDefault="005A533A" w:rsidP="005A533A">
            <w:pPr>
              <w:pStyle w:val="ListParagraph"/>
              <w:jc w:val="both"/>
              <w:rPr>
                <w:rFonts w:ascii="Arial" w:hAnsi="Arial" w:cs="Arial"/>
                <w:sz w:val="22"/>
                <w:szCs w:val="22"/>
              </w:rPr>
            </w:pPr>
          </w:p>
          <w:p w:rsidR="005A533A" w:rsidRPr="00E05F1E" w:rsidRDefault="005A533A" w:rsidP="005A533A">
            <w:pPr>
              <w:pStyle w:val="ListParagraph"/>
              <w:numPr>
                <w:ilvl w:val="0"/>
                <w:numId w:val="13"/>
              </w:numPr>
              <w:ind w:left="720"/>
              <w:jc w:val="both"/>
              <w:rPr>
                <w:rFonts w:ascii="Arial" w:hAnsi="Arial" w:cs="Arial"/>
                <w:sz w:val="22"/>
                <w:szCs w:val="22"/>
              </w:rPr>
            </w:pPr>
            <w:r w:rsidRPr="00E05F1E">
              <w:rPr>
                <w:rFonts w:ascii="Arial" w:hAnsi="Arial" w:cs="Arial"/>
                <w:sz w:val="22"/>
                <w:szCs w:val="22"/>
              </w:rPr>
              <w:t xml:space="preserve">The financial position has deteriorated further during the month </w:t>
            </w:r>
            <w:r>
              <w:rPr>
                <w:rFonts w:ascii="Arial" w:hAnsi="Arial" w:cs="Arial"/>
                <w:sz w:val="22"/>
                <w:szCs w:val="22"/>
              </w:rPr>
              <w:t>and</w:t>
            </w:r>
            <w:r w:rsidRPr="00E05F1E">
              <w:rPr>
                <w:rFonts w:ascii="Arial" w:hAnsi="Arial" w:cs="Arial"/>
                <w:sz w:val="22"/>
                <w:szCs w:val="22"/>
              </w:rPr>
              <w:t xml:space="preserve"> the likely </w:t>
            </w:r>
            <w:r>
              <w:rPr>
                <w:rFonts w:ascii="Arial" w:hAnsi="Arial" w:cs="Arial"/>
                <w:sz w:val="22"/>
                <w:szCs w:val="22"/>
              </w:rPr>
              <w:t xml:space="preserve">outturn </w:t>
            </w:r>
            <w:r w:rsidRPr="00E05F1E">
              <w:rPr>
                <w:rFonts w:ascii="Arial" w:hAnsi="Arial" w:cs="Arial"/>
                <w:sz w:val="22"/>
                <w:szCs w:val="22"/>
              </w:rPr>
              <w:t xml:space="preserve">position is a deficit of </w:t>
            </w:r>
            <w:r w:rsidRPr="00E05F1E">
              <w:rPr>
                <w:rFonts w:ascii="Arial" w:hAnsi="Arial" w:cs="Arial"/>
                <w:b/>
                <w:sz w:val="22"/>
                <w:szCs w:val="22"/>
              </w:rPr>
              <w:t>£2.</w:t>
            </w:r>
            <w:r>
              <w:rPr>
                <w:rFonts w:ascii="Arial" w:hAnsi="Arial" w:cs="Arial"/>
                <w:b/>
                <w:sz w:val="22"/>
                <w:szCs w:val="22"/>
              </w:rPr>
              <w:t>332</w:t>
            </w:r>
            <w:r w:rsidRPr="00E05F1E">
              <w:rPr>
                <w:rFonts w:ascii="Arial" w:hAnsi="Arial" w:cs="Arial"/>
                <w:b/>
                <w:sz w:val="22"/>
                <w:szCs w:val="22"/>
              </w:rPr>
              <w:t>m</w:t>
            </w:r>
            <w:r w:rsidRPr="00E05F1E">
              <w:rPr>
                <w:rFonts w:ascii="Arial" w:hAnsi="Arial" w:cs="Arial"/>
                <w:sz w:val="22"/>
                <w:szCs w:val="22"/>
              </w:rPr>
              <w:t>.</w:t>
            </w:r>
            <w:r>
              <w:rPr>
                <w:rFonts w:ascii="Arial" w:hAnsi="Arial" w:cs="Arial"/>
                <w:sz w:val="22"/>
                <w:szCs w:val="22"/>
              </w:rPr>
              <w:t xml:space="preserve">  The likely position includes the expenditure forecast delivery of QIPP savings for the remainder of the financial year</w:t>
            </w:r>
          </w:p>
          <w:p w:rsidR="005A533A" w:rsidRPr="00E05F1E" w:rsidRDefault="005A533A" w:rsidP="005A533A">
            <w:pPr>
              <w:pStyle w:val="ListParagraph"/>
              <w:jc w:val="both"/>
              <w:rPr>
                <w:rFonts w:ascii="Arial" w:hAnsi="Arial" w:cs="Arial"/>
                <w:sz w:val="22"/>
                <w:szCs w:val="22"/>
              </w:rPr>
            </w:pPr>
          </w:p>
          <w:p w:rsidR="005A533A" w:rsidRPr="00E108D1" w:rsidRDefault="005A533A" w:rsidP="005A533A">
            <w:pPr>
              <w:pStyle w:val="ListParagraph"/>
              <w:numPr>
                <w:ilvl w:val="0"/>
                <w:numId w:val="13"/>
              </w:numPr>
              <w:ind w:left="720"/>
              <w:jc w:val="both"/>
              <w:rPr>
                <w:rFonts w:ascii="Arial" w:hAnsi="Arial" w:cs="Arial"/>
                <w:b/>
                <w:sz w:val="22"/>
                <w:szCs w:val="22"/>
              </w:rPr>
            </w:pPr>
            <w:r>
              <w:rPr>
                <w:rFonts w:ascii="Arial" w:hAnsi="Arial" w:cs="Arial"/>
                <w:sz w:val="22"/>
                <w:szCs w:val="22"/>
              </w:rPr>
              <w:t>It should be noted that the forecast deficit does not include the 1% non-recurrent reserve which is held uncommitted as directed by NHS England.</w:t>
            </w:r>
          </w:p>
          <w:p w:rsidR="005A533A" w:rsidRPr="00E108D1" w:rsidRDefault="005A533A" w:rsidP="005A533A">
            <w:pPr>
              <w:pStyle w:val="ListParagraph"/>
              <w:rPr>
                <w:rFonts w:ascii="Arial" w:hAnsi="Arial" w:cs="Arial"/>
                <w:b/>
                <w:sz w:val="22"/>
                <w:szCs w:val="22"/>
              </w:rPr>
            </w:pPr>
          </w:p>
          <w:p w:rsidR="005A533A" w:rsidRPr="00E108D1" w:rsidRDefault="005A533A" w:rsidP="005A533A">
            <w:pPr>
              <w:pStyle w:val="ListParagraph"/>
              <w:numPr>
                <w:ilvl w:val="0"/>
                <w:numId w:val="13"/>
              </w:numPr>
              <w:ind w:left="720"/>
              <w:jc w:val="both"/>
              <w:rPr>
                <w:rFonts w:ascii="Arial" w:hAnsi="Arial" w:cs="Arial"/>
                <w:sz w:val="22"/>
                <w:szCs w:val="22"/>
              </w:rPr>
            </w:pPr>
            <w:r w:rsidRPr="00E108D1">
              <w:rPr>
                <w:rFonts w:ascii="Arial" w:hAnsi="Arial" w:cs="Arial"/>
                <w:sz w:val="22"/>
                <w:szCs w:val="22"/>
              </w:rPr>
              <w:t>Release of the 1% reserve (£2.432m)</w:t>
            </w:r>
            <w:r>
              <w:rPr>
                <w:rFonts w:ascii="Arial" w:hAnsi="Arial" w:cs="Arial"/>
                <w:sz w:val="22"/>
                <w:szCs w:val="22"/>
              </w:rPr>
              <w:t xml:space="preserve"> will result in a surplus of £0.100m which delivers the CCG statutory financial duty to achieve a break even position.</w:t>
            </w:r>
          </w:p>
          <w:p w:rsidR="005A533A" w:rsidRDefault="005A533A" w:rsidP="005A533A">
            <w:pPr>
              <w:rPr>
                <w:rFonts w:ascii="Arial" w:hAnsi="Arial" w:cs="Arial"/>
                <w:sz w:val="22"/>
                <w:szCs w:val="22"/>
                <w:highlight w:val="yellow"/>
              </w:rPr>
            </w:pPr>
          </w:p>
          <w:p w:rsidR="005A533A" w:rsidRPr="005A533A" w:rsidRDefault="005A533A" w:rsidP="005A533A">
            <w:pPr>
              <w:pStyle w:val="ListParagraph"/>
              <w:numPr>
                <w:ilvl w:val="0"/>
                <w:numId w:val="13"/>
              </w:numPr>
              <w:ind w:left="720"/>
              <w:rPr>
                <w:rFonts w:ascii="Arial" w:hAnsi="Arial" w:cs="Arial"/>
                <w:b/>
                <w:bCs/>
                <w:sz w:val="22"/>
                <w:szCs w:val="22"/>
              </w:rPr>
            </w:pPr>
            <w:r w:rsidRPr="00FC713A">
              <w:rPr>
                <w:rFonts w:ascii="Arial" w:hAnsi="Arial" w:cs="Arial"/>
                <w:bCs/>
                <w:sz w:val="22"/>
                <w:szCs w:val="22"/>
              </w:rPr>
              <w:t xml:space="preserve">The CCG is undertaking an urgent and critical review of the remaining QIPP programme areas to provide assurance that the </w:t>
            </w:r>
            <w:r>
              <w:rPr>
                <w:rFonts w:ascii="Arial" w:hAnsi="Arial" w:cs="Arial"/>
                <w:bCs/>
                <w:sz w:val="22"/>
                <w:szCs w:val="22"/>
              </w:rPr>
              <w:t xml:space="preserve">anticipated </w:t>
            </w:r>
            <w:r w:rsidRPr="00FC713A">
              <w:rPr>
                <w:rFonts w:ascii="Arial" w:hAnsi="Arial" w:cs="Arial"/>
                <w:bCs/>
                <w:sz w:val="22"/>
                <w:szCs w:val="22"/>
              </w:rPr>
              <w:t xml:space="preserve">level of savings can be achieved in the </w:t>
            </w:r>
            <w:r>
              <w:rPr>
                <w:rFonts w:ascii="Arial" w:hAnsi="Arial" w:cs="Arial"/>
                <w:bCs/>
                <w:sz w:val="22"/>
                <w:szCs w:val="22"/>
              </w:rPr>
              <w:t xml:space="preserve">remainder of the </w:t>
            </w:r>
            <w:r w:rsidRPr="00FC713A">
              <w:rPr>
                <w:rFonts w:ascii="Arial" w:hAnsi="Arial" w:cs="Arial"/>
                <w:bCs/>
                <w:sz w:val="22"/>
                <w:szCs w:val="22"/>
              </w:rPr>
              <w:t>financial year.</w:t>
            </w:r>
          </w:p>
          <w:p w:rsidR="005A533A" w:rsidRPr="005A533A" w:rsidRDefault="005A533A" w:rsidP="005A533A">
            <w:pPr>
              <w:pStyle w:val="ListParagraph"/>
              <w:rPr>
                <w:rFonts w:ascii="Arial" w:hAnsi="Arial" w:cs="Arial"/>
                <w:bCs/>
                <w:sz w:val="22"/>
                <w:szCs w:val="22"/>
              </w:rPr>
            </w:pPr>
          </w:p>
          <w:p w:rsidR="005A533A" w:rsidRPr="005A533A" w:rsidRDefault="005A533A" w:rsidP="005A533A">
            <w:pPr>
              <w:pStyle w:val="ListParagraph"/>
              <w:numPr>
                <w:ilvl w:val="0"/>
                <w:numId w:val="13"/>
              </w:numPr>
              <w:ind w:left="720"/>
              <w:rPr>
                <w:rFonts w:ascii="Arial" w:hAnsi="Arial" w:cs="Arial"/>
                <w:b/>
                <w:bCs/>
                <w:sz w:val="22"/>
                <w:szCs w:val="22"/>
              </w:rPr>
            </w:pPr>
            <w:r w:rsidRPr="005A533A">
              <w:rPr>
                <w:rFonts w:ascii="Arial" w:hAnsi="Arial" w:cs="Arial"/>
                <w:bCs/>
                <w:sz w:val="22"/>
                <w:szCs w:val="22"/>
              </w:rPr>
              <w:t>The CCG’s commissioning team must support member practices in reviewing their commissioning arrangements to identify areas where clinical variation exists, and address accordingly.  High levels of engagement and support is required from member practices to enable the CCG to reduce levels of low value healthcare and improve value for money.</w:t>
            </w:r>
          </w:p>
        </w:tc>
        <w:tc>
          <w:tcPr>
            <w:tcW w:w="283" w:type="dxa"/>
            <w:vMerge w:val="restart"/>
            <w:tcBorders>
              <w:top w:val="nil"/>
              <w:left w:val="nil"/>
              <w:bottom w:val="nil"/>
              <w:right w:val="nil"/>
            </w:tcBorders>
          </w:tcPr>
          <w:p w:rsidR="005A533A" w:rsidRPr="00701013" w:rsidRDefault="005A533A" w:rsidP="005A533A">
            <w:pPr>
              <w:rPr>
                <w:rFonts w:ascii="Arial" w:hAnsi="Arial" w:cs="Arial"/>
                <w:b/>
                <w:sz w:val="22"/>
                <w:szCs w:val="22"/>
              </w:rPr>
            </w:pPr>
          </w:p>
        </w:tc>
        <w:tc>
          <w:tcPr>
            <w:tcW w:w="1092" w:type="dxa"/>
            <w:tcBorders>
              <w:top w:val="nil"/>
              <w:left w:val="nil"/>
              <w:bottom w:val="nil"/>
              <w:right w:val="single" w:sz="4" w:space="0" w:color="auto"/>
            </w:tcBorders>
          </w:tcPr>
          <w:p w:rsidR="005A533A" w:rsidRPr="00463BC8" w:rsidRDefault="005A533A" w:rsidP="005A533A">
            <w:pPr>
              <w:rPr>
                <w:rFonts w:ascii="Arial" w:hAnsi="Arial" w:cs="Arial"/>
                <w:sz w:val="22"/>
                <w:szCs w:val="22"/>
              </w:rPr>
            </w:pPr>
            <w:r>
              <w:rPr>
                <w:rFonts w:ascii="Arial" w:hAnsi="Arial" w:cs="Arial"/>
                <w:sz w:val="22"/>
                <w:szCs w:val="22"/>
              </w:rPr>
              <w:t>Receive</w:t>
            </w:r>
          </w:p>
        </w:tc>
        <w:tc>
          <w:tcPr>
            <w:tcW w:w="363" w:type="dxa"/>
            <w:tcBorders>
              <w:top w:val="single" w:sz="4" w:space="0" w:color="auto"/>
              <w:left w:val="single" w:sz="4" w:space="0" w:color="auto"/>
              <w:bottom w:val="single" w:sz="4" w:space="0" w:color="auto"/>
              <w:right w:val="single" w:sz="4" w:space="0" w:color="auto"/>
            </w:tcBorders>
          </w:tcPr>
          <w:p w:rsidR="005A533A" w:rsidRPr="00463BC8" w:rsidRDefault="005A533A" w:rsidP="005A533A">
            <w:pPr>
              <w:rPr>
                <w:rFonts w:ascii="Arial" w:hAnsi="Arial" w:cs="Arial"/>
                <w:sz w:val="22"/>
                <w:szCs w:val="22"/>
              </w:rPr>
            </w:pPr>
            <w:r>
              <w:rPr>
                <w:rFonts w:ascii="Arial" w:hAnsi="Arial" w:cs="Arial"/>
                <w:sz w:val="22"/>
                <w:szCs w:val="22"/>
              </w:rPr>
              <w:t>x</w:t>
            </w:r>
          </w:p>
        </w:tc>
        <w:tc>
          <w:tcPr>
            <w:tcW w:w="283" w:type="dxa"/>
            <w:tcBorders>
              <w:top w:val="nil"/>
              <w:left w:val="single" w:sz="4" w:space="0" w:color="auto"/>
              <w:bottom w:val="nil"/>
              <w:right w:val="single" w:sz="4" w:space="0" w:color="auto"/>
            </w:tcBorders>
          </w:tcPr>
          <w:p w:rsidR="005A533A" w:rsidRPr="00463BC8" w:rsidRDefault="005A533A" w:rsidP="005A533A">
            <w:pPr>
              <w:rPr>
                <w:rFonts w:ascii="Arial" w:hAnsi="Arial" w:cs="Arial"/>
                <w:sz w:val="22"/>
                <w:szCs w:val="22"/>
              </w:rPr>
            </w:pPr>
          </w:p>
        </w:tc>
      </w:tr>
      <w:tr w:rsidR="005A533A" w:rsidRPr="00463BC8" w:rsidTr="005A533A">
        <w:trPr>
          <w:gridAfter w:val="1"/>
          <w:wAfter w:w="6" w:type="dxa"/>
          <w:trHeight w:val="255"/>
        </w:trPr>
        <w:tc>
          <w:tcPr>
            <w:tcW w:w="7618" w:type="dxa"/>
            <w:gridSpan w:val="3"/>
            <w:vMerge/>
            <w:tcBorders>
              <w:left w:val="single" w:sz="4" w:space="0" w:color="auto"/>
              <w:bottom w:val="nil"/>
              <w:right w:val="nil"/>
            </w:tcBorders>
          </w:tcPr>
          <w:p w:rsidR="005A533A" w:rsidRDefault="005A533A" w:rsidP="005A533A">
            <w:pPr>
              <w:rPr>
                <w:rFonts w:ascii="Arial" w:hAnsi="Arial" w:cs="Arial"/>
                <w:b/>
                <w:sz w:val="22"/>
                <w:szCs w:val="22"/>
              </w:rPr>
            </w:pPr>
          </w:p>
        </w:tc>
        <w:tc>
          <w:tcPr>
            <w:tcW w:w="283" w:type="dxa"/>
            <w:vMerge/>
            <w:tcBorders>
              <w:left w:val="nil"/>
              <w:bottom w:val="nil"/>
              <w:right w:val="nil"/>
            </w:tcBorders>
          </w:tcPr>
          <w:p w:rsidR="005A533A" w:rsidRDefault="005A533A" w:rsidP="005A533A">
            <w:pPr>
              <w:rPr>
                <w:rFonts w:ascii="Arial" w:hAnsi="Arial" w:cs="Arial"/>
                <w:b/>
                <w:sz w:val="22"/>
                <w:szCs w:val="22"/>
              </w:rPr>
            </w:pPr>
          </w:p>
        </w:tc>
        <w:tc>
          <w:tcPr>
            <w:tcW w:w="1092" w:type="dxa"/>
            <w:tcBorders>
              <w:top w:val="nil"/>
              <w:left w:val="nil"/>
              <w:bottom w:val="nil"/>
              <w:right w:val="single" w:sz="4" w:space="0" w:color="auto"/>
            </w:tcBorders>
          </w:tcPr>
          <w:p w:rsidR="005A533A" w:rsidRPr="00463BC8" w:rsidRDefault="005A533A" w:rsidP="005A533A">
            <w:pPr>
              <w:rPr>
                <w:rFonts w:ascii="Arial" w:hAnsi="Arial" w:cs="Arial"/>
                <w:sz w:val="22"/>
                <w:szCs w:val="22"/>
              </w:rPr>
            </w:pPr>
            <w:r>
              <w:rPr>
                <w:rFonts w:ascii="Arial" w:hAnsi="Arial" w:cs="Arial"/>
                <w:sz w:val="22"/>
                <w:szCs w:val="22"/>
              </w:rPr>
              <w:t>Approve</w:t>
            </w:r>
          </w:p>
        </w:tc>
        <w:tc>
          <w:tcPr>
            <w:tcW w:w="363" w:type="dxa"/>
            <w:tcBorders>
              <w:top w:val="single" w:sz="4" w:space="0" w:color="auto"/>
              <w:left w:val="single" w:sz="4" w:space="0" w:color="auto"/>
              <w:bottom w:val="single" w:sz="4" w:space="0" w:color="auto"/>
              <w:right w:val="single" w:sz="4" w:space="0" w:color="auto"/>
            </w:tcBorders>
          </w:tcPr>
          <w:p w:rsidR="005A533A" w:rsidRPr="00463BC8" w:rsidRDefault="005A533A" w:rsidP="005A533A">
            <w:pPr>
              <w:rPr>
                <w:rFonts w:ascii="Arial" w:hAnsi="Arial" w:cs="Arial"/>
                <w:sz w:val="22"/>
                <w:szCs w:val="22"/>
              </w:rPr>
            </w:pPr>
          </w:p>
        </w:tc>
        <w:tc>
          <w:tcPr>
            <w:tcW w:w="283" w:type="dxa"/>
            <w:tcBorders>
              <w:top w:val="nil"/>
              <w:left w:val="single" w:sz="4" w:space="0" w:color="auto"/>
              <w:bottom w:val="nil"/>
              <w:right w:val="single" w:sz="4" w:space="0" w:color="auto"/>
            </w:tcBorders>
          </w:tcPr>
          <w:p w:rsidR="005A533A" w:rsidRPr="00463BC8" w:rsidRDefault="005A533A" w:rsidP="005A533A">
            <w:pPr>
              <w:rPr>
                <w:rFonts w:ascii="Arial" w:hAnsi="Arial" w:cs="Arial"/>
                <w:sz w:val="22"/>
                <w:szCs w:val="22"/>
              </w:rPr>
            </w:pPr>
          </w:p>
        </w:tc>
      </w:tr>
      <w:tr w:rsidR="005A533A" w:rsidRPr="00463BC8" w:rsidTr="005A533A">
        <w:trPr>
          <w:gridAfter w:val="1"/>
          <w:wAfter w:w="6" w:type="dxa"/>
          <w:trHeight w:val="255"/>
        </w:trPr>
        <w:tc>
          <w:tcPr>
            <w:tcW w:w="7618" w:type="dxa"/>
            <w:gridSpan w:val="3"/>
            <w:vMerge/>
            <w:tcBorders>
              <w:left w:val="single" w:sz="4" w:space="0" w:color="auto"/>
              <w:bottom w:val="nil"/>
              <w:right w:val="nil"/>
            </w:tcBorders>
          </w:tcPr>
          <w:p w:rsidR="005A533A" w:rsidRDefault="005A533A" w:rsidP="005A533A">
            <w:pPr>
              <w:rPr>
                <w:rFonts w:ascii="Arial" w:hAnsi="Arial" w:cs="Arial"/>
                <w:b/>
                <w:sz w:val="22"/>
                <w:szCs w:val="22"/>
              </w:rPr>
            </w:pPr>
          </w:p>
        </w:tc>
        <w:tc>
          <w:tcPr>
            <w:tcW w:w="283" w:type="dxa"/>
            <w:vMerge/>
            <w:tcBorders>
              <w:left w:val="nil"/>
              <w:bottom w:val="nil"/>
              <w:right w:val="nil"/>
            </w:tcBorders>
          </w:tcPr>
          <w:p w:rsidR="005A533A" w:rsidRDefault="005A533A" w:rsidP="005A533A">
            <w:pPr>
              <w:rPr>
                <w:rFonts w:ascii="Arial" w:hAnsi="Arial" w:cs="Arial"/>
                <w:b/>
                <w:sz w:val="22"/>
                <w:szCs w:val="22"/>
              </w:rPr>
            </w:pPr>
          </w:p>
        </w:tc>
        <w:tc>
          <w:tcPr>
            <w:tcW w:w="1092" w:type="dxa"/>
            <w:tcBorders>
              <w:top w:val="nil"/>
              <w:left w:val="nil"/>
              <w:bottom w:val="nil"/>
              <w:right w:val="single" w:sz="4" w:space="0" w:color="auto"/>
            </w:tcBorders>
          </w:tcPr>
          <w:p w:rsidR="005A533A" w:rsidRDefault="005A533A" w:rsidP="005A533A">
            <w:pPr>
              <w:rPr>
                <w:rFonts w:ascii="Arial" w:hAnsi="Arial" w:cs="Arial"/>
                <w:sz w:val="22"/>
                <w:szCs w:val="22"/>
              </w:rPr>
            </w:pPr>
            <w:r>
              <w:rPr>
                <w:rFonts w:ascii="Arial" w:hAnsi="Arial" w:cs="Arial"/>
                <w:sz w:val="22"/>
                <w:szCs w:val="22"/>
              </w:rPr>
              <w:t>Ratify</w:t>
            </w:r>
          </w:p>
        </w:tc>
        <w:tc>
          <w:tcPr>
            <w:tcW w:w="363" w:type="dxa"/>
            <w:tcBorders>
              <w:top w:val="single" w:sz="4" w:space="0" w:color="auto"/>
              <w:left w:val="single" w:sz="4" w:space="0" w:color="auto"/>
              <w:bottom w:val="single" w:sz="4" w:space="0" w:color="auto"/>
              <w:right w:val="single" w:sz="4" w:space="0" w:color="auto"/>
            </w:tcBorders>
          </w:tcPr>
          <w:p w:rsidR="005A533A" w:rsidRPr="00463BC8" w:rsidRDefault="005A533A" w:rsidP="005A533A">
            <w:pPr>
              <w:rPr>
                <w:rFonts w:ascii="Arial" w:hAnsi="Arial" w:cs="Arial"/>
                <w:sz w:val="22"/>
                <w:szCs w:val="22"/>
              </w:rPr>
            </w:pPr>
          </w:p>
        </w:tc>
        <w:tc>
          <w:tcPr>
            <w:tcW w:w="283" w:type="dxa"/>
            <w:tcBorders>
              <w:top w:val="nil"/>
              <w:left w:val="single" w:sz="4" w:space="0" w:color="auto"/>
              <w:bottom w:val="nil"/>
              <w:right w:val="single" w:sz="4" w:space="0" w:color="auto"/>
            </w:tcBorders>
          </w:tcPr>
          <w:p w:rsidR="005A533A" w:rsidRPr="00463BC8" w:rsidRDefault="005A533A" w:rsidP="005A533A">
            <w:pPr>
              <w:rPr>
                <w:rFonts w:ascii="Arial" w:hAnsi="Arial" w:cs="Arial"/>
                <w:sz w:val="22"/>
                <w:szCs w:val="22"/>
              </w:rPr>
            </w:pPr>
          </w:p>
        </w:tc>
      </w:tr>
      <w:tr w:rsidR="005A533A" w:rsidRPr="00463BC8" w:rsidTr="005A533A">
        <w:trPr>
          <w:gridAfter w:val="1"/>
          <w:wAfter w:w="6" w:type="dxa"/>
          <w:trHeight w:val="92"/>
        </w:trPr>
        <w:tc>
          <w:tcPr>
            <w:tcW w:w="7618" w:type="dxa"/>
            <w:gridSpan w:val="3"/>
            <w:vMerge/>
            <w:tcBorders>
              <w:left w:val="single" w:sz="4" w:space="0" w:color="auto"/>
              <w:bottom w:val="nil"/>
              <w:right w:val="nil"/>
            </w:tcBorders>
          </w:tcPr>
          <w:p w:rsidR="005A533A" w:rsidRDefault="005A533A" w:rsidP="005A533A">
            <w:pPr>
              <w:rPr>
                <w:rFonts w:ascii="Arial" w:hAnsi="Arial" w:cs="Arial"/>
                <w:b/>
                <w:sz w:val="22"/>
                <w:szCs w:val="22"/>
              </w:rPr>
            </w:pPr>
          </w:p>
        </w:tc>
        <w:tc>
          <w:tcPr>
            <w:tcW w:w="283" w:type="dxa"/>
            <w:vMerge/>
            <w:tcBorders>
              <w:left w:val="nil"/>
              <w:bottom w:val="nil"/>
              <w:right w:val="nil"/>
            </w:tcBorders>
          </w:tcPr>
          <w:p w:rsidR="005A533A" w:rsidRDefault="005A533A" w:rsidP="005A533A">
            <w:pPr>
              <w:rPr>
                <w:rFonts w:ascii="Arial" w:hAnsi="Arial" w:cs="Arial"/>
                <w:b/>
                <w:sz w:val="22"/>
                <w:szCs w:val="22"/>
              </w:rPr>
            </w:pPr>
          </w:p>
        </w:tc>
        <w:tc>
          <w:tcPr>
            <w:tcW w:w="1092" w:type="dxa"/>
            <w:tcBorders>
              <w:top w:val="nil"/>
              <w:left w:val="nil"/>
              <w:bottom w:val="nil"/>
              <w:right w:val="nil"/>
            </w:tcBorders>
          </w:tcPr>
          <w:p w:rsidR="005A533A" w:rsidRPr="00463BC8" w:rsidRDefault="005A533A" w:rsidP="005A533A">
            <w:pPr>
              <w:rPr>
                <w:rFonts w:ascii="Arial" w:hAnsi="Arial" w:cs="Arial"/>
                <w:sz w:val="22"/>
                <w:szCs w:val="22"/>
              </w:rPr>
            </w:pPr>
          </w:p>
        </w:tc>
        <w:tc>
          <w:tcPr>
            <w:tcW w:w="363" w:type="dxa"/>
            <w:tcBorders>
              <w:top w:val="single" w:sz="4" w:space="0" w:color="auto"/>
              <w:left w:val="nil"/>
              <w:bottom w:val="nil"/>
              <w:right w:val="nil"/>
            </w:tcBorders>
          </w:tcPr>
          <w:p w:rsidR="005A533A" w:rsidRPr="00463BC8" w:rsidRDefault="005A533A" w:rsidP="005A533A">
            <w:pPr>
              <w:rPr>
                <w:rFonts w:ascii="Arial" w:hAnsi="Arial" w:cs="Arial"/>
                <w:sz w:val="22"/>
                <w:szCs w:val="22"/>
              </w:rPr>
            </w:pPr>
          </w:p>
        </w:tc>
        <w:tc>
          <w:tcPr>
            <w:tcW w:w="283" w:type="dxa"/>
            <w:tcBorders>
              <w:top w:val="nil"/>
              <w:left w:val="nil"/>
              <w:bottom w:val="nil"/>
              <w:right w:val="single" w:sz="4" w:space="0" w:color="auto"/>
            </w:tcBorders>
          </w:tcPr>
          <w:p w:rsidR="005A533A" w:rsidRPr="00463BC8" w:rsidRDefault="005A533A" w:rsidP="005A533A">
            <w:pPr>
              <w:rPr>
                <w:rFonts w:ascii="Arial" w:hAnsi="Arial" w:cs="Arial"/>
                <w:sz w:val="22"/>
                <w:szCs w:val="22"/>
              </w:rPr>
            </w:pPr>
          </w:p>
        </w:tc>
      </w:tr>
      <w:tr w:rsidR="005A533A" w:rsidRPr="00463BC8" w:rsidTr="005A533A">
        <w:trPr>
          <w:gridAfter w:val="1"/>
          <w:wAfter w:w="6" w:type="dxa"/>
          <w:trHeight w:val="255"/>
        </w:trPr>
        <w:tc>
          <w:tcPr>
            <w:tcW w:w="7901" w:type="dxa"/>
            <w:gridSpan w:val="4"/>
            <w:tcBorders>
              <w:top w:val="nil"/>
              <w:left w:val="single" w:sz="4" w:space="0" w:color="auto"/>
              <w:bottom w:val="single" w:sz="4" w:space="0" w:color="auto"/>
              <w:right w:val="nil"/>
            </w:tcBorders>
          </w:tcPr>
          <w:p w:rsidR="005A533A" w:rsidRDefault="005A533A" w:rsidP="005A533A">
            <w:pPr>
              <w:rPr>
                <w:rFonts w:ascii="Arial" w:hAnsi="Arial" w:cs="Arial"/>
                <w:b/>
                <w:sz w:val="22"/>
                <w:szCs w:val="22"/>
              </w:rPr>
            </w:pPr>
          </w:p>
        </w:tc>
        <w:tc>
          <w:tcPr>
            <w:tcW w:w="1092" w:type="dxa"/>
            <w:tcBorders>
              <w:top w:val="nil"/>
              <w:left w:val="nil"/>
              <w:bottom w:val="single" w:sz="4" w:space="0" w:color="auto"/>
              <w:right w:val="nil"/>
            </w:tcBorders>
          </w:tcPr>
          <w:p w:rsidR="005A533A" w:rsidRDefault="005A533A" w:rsidP="005A533A">
            <w:pPr>
              <w:rPr>
                <w:rFonts w:ascii="Arial" w:hAnsi="Arial" w:cs="Arial"/>
                <w:sz w:val="22"/>
                <w:szCs w:val="22"/>
              </w:rPr>
            </w:pPr>
          </w:p>
        </w:tc>
        <w:tc>
          <w:tcPr>
            <w:tcW w:w="363" w:type="dxa"/>
            <w:tcBorders>
              <w:top w:val="nil"/>
              <w:left w:val="nil"/>
              <w:bottom w:val="single" w:sz="4" w:space="0" w:color="auto"/>
              <w:right w:val="nil"/>
            </w:tcBorders>
          </w:tcPr>
          <w:p w:rsidR="005A533A" w:rsidRPr="00463BC8" w:rsidRDefault="005A533A" w:rsidP="005A533A">
            <w:pPr>
              <w:rPr>
                <w:rFonts w:ascii="Arial" w:hAnsi="Arial" w:cs="Arial"/>
                <w:sz w:val="22"/>
                <w:szCs w:val="22"/>
              </w:rPr>
            </w:pPr>
          </w:p>
        </w:tc>
        <w:tc>
          <w:tcPr>
            <w:tcW w:w="283" w:type="dxa"/>
            <w:tcBorders>
              <w:top w:val="nil"/>
              <w:left w:val="nil"/>
              <w:bottom w:val="single" w:sz="4" w:space="0" w:color="auto"/>
              <w:right w:val="single" w:sz="4" w:space="0" w:color="auto"/>
            </w:tcBorders>
          </w:tcPr>
          <w:p w:rsidR="005A533A" w:rsidRPr="00463BC8" w:rsidRDefault="005A533A" w:rsidP="005A533A">
            <w:pPr>
              <w:rPr>
                <w:rFonts w:ascii="Arial" w:hAnsi="Arial" w:cs="Arial"/>
                <w:sz w:val="22"/>
                <w:szCs w:val="22"/>
              </w:rPr>
            </w:pPr>
          </w:p>
        </w:tc>
      </w:tr>
      <w:tr w:rsidR="005A533A" w:rsidRPr="002E5029" w:rsidTr="005A533A">
        <w:tblPrEx>
          <w:tblLook w:val="04A0" w:firstRow="1" w:lastRow="0" w:firstColumn="1" w:lastColumn="0" w:noHBand="0" w:noVBand="1"/>
        </w:tblPrEx>
        <w:trPr>
          <w:gridAfter w:val="1"/>
          <w:wAfter w:w="6" w:type="dxa"/>
        </w:trPr>
        <w:tc>
          <w:tcPr>
            <w:tcW w:w="9639" w:type="dxa"/>
            <w:gridSpan w:val="7"/>
            <w:shd w:val="clear" w:color="auto" w:fill="31849B" w:themeFill="accent5" w:themeFillShade="BF"/>
          </w:tcPr>
          <w:p w:rsidR="005A533A" w:rsidRPr="002E5029" w:rsidRDefault="005A533A" w:rsidP="005A533A">
            <w:pPr>
              <w:spacing w:before="60" w:after="60"/>
              <w:rPr>
                <w:rFonts w:ascii="Arial" w:hAnsi="Arial"/>
                <w:color w:val="FFFFFF" w:themeColor="background1"/>
                <w:sz w:val="22"/>
              </w:rPr>
            </w:pPr>
            <w:r w:rsidRPr="002E5029">
              <w:rPr>
                <w:rFonts w:ascii="Arial" w:hAnsi="Arial"/>
                <w:color w:val="FFFFFF" w:themeColor="background1"/>
                <w:sz w:val="22"/>
              </w:rPr>
              <w:t xml:space="preserve">Links to Corporate Objectives </w:t>
            </w:r>
            <w:r w:rsidRPr="002E5029">
              <w:rPr>
                <w:rFonts w:ascii="Arial" w:hAnsi="Arial"/>
                <w:i/>
                <w:color w:val="FFFFFF" w:themeColor="background1"/>
                <w:sz w:val="22"/>
              </w:rPr>
              <w:t>(x those that apply)</w:t>
            </w:r>
          </w:p>
        </w:tc>
      </w:tr>
      <w:tr w:rsidR="005A533A" w:rsidRPr="000776C2" w:rsidTr="005A533A">
        <w:tblPrEx>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hideMark/>
          </w:tcPr>
          <w:p w:rsidR="005A533A" w:rsidRPr="000776C2" w:rsidRDefault="005A533A" w:rsidP="005A533A">
            <w:pPr>
              <w:spacing w:before="60" w:after="60"/>
              <w:jc w:val="center"/>
              <w:rPr>
                <w:rFonts w:ascii="Arial" w:hAnsi="Arial"/>
                <w:sz w:val="22"/>
              </w:rPr>
            </w:pPr>
            <w:r>
              <w:rPr>
                <w:rFonts w:ascii="Arial" w:hAnsi="Arial"/>
                <w:sz w:val="22"/>
              </w:rPr>
              <w:t>X</w:t>
            </w:r>
          </w:p>
        </w:tc>
        <w:tc>
          <w:tcPr>
            <w:tcW w:w="9078" w:type="dxa"/>
            <w:gridSpan w:val="7"/>
            <w:tcBorders>
              <w:top w:val="single" w:sz="4" w:space="0" w:color="auto"/>
              <w:left w:val="single" w:sz="4" w:space="0" w:color="auto"/>
              <w:bottom w:val="single" w:sz="4" w:space="0" w:color="auto"/>
              <w:right w:val="single" w:sz="4" w:space="0" w:color="auto"/>
            </w:tcBorders>
            <w:vAlign w:val="center"/>
          </w:tcPr>
          <w:p w:rsidR="005A533A" w:rsidRDefault="005A533A" w:rsidP="005A533A">
            <w:pPr>
              <w:jc w:val="both"/>
              <w:rPr>
                <w:rFonts w:ascii="Arial" w:hAnsi="Arial" w:cs="Arial"/>
                <w:sz w:val="22"/>
                <w:szCs w:val="22"/>
              </w:rPr>
            </w:pPr>
            <w:r w:rsidRPr="002A0E32">
              <w:rPr>
                <w:rFonts w:ascii="Arial" w:hAnsi="Arial" w:cs="Arial"/>
                <w:sz w:val="22"/>
                <w:szCs w:val="22"/>
              </w:rPr>
              <w:t>To focus on the identification of QIPP (Quality, Improvement, Productivity &amp; Prevention) schemes and the implementation and delivery of these to achieve the CCG QIPP target.</w:t>
            </w:r>
          </w:p>
        </w:tc>
      </w:tr>
      <w:tr w:rsidR="005A533A" w:rsidTr="005A533A">
        <w:tblPrEx>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5A533A" w:rsidRDefault="005A533A" w:rsidP="005A533A">
            <w:pPr>
              <w:spacing w:before="60" w:after="60"/>
              <w:jc w:val="center"/>
              <w:rPr>
                <w:rFonts w:ascii="Arial" w:hAnsi="Arial"/>
                <w:sz w:val="22"/>
              </w:rPr>
            </w:pPr>
            <w:r>
              <w:rPr>
                <w:rFonts w:ascii="Arial" w:hAnsi="Arial"/>
                <w:sz w:val="22"/>
              </w:rPr>
              <w:t>X</w:t>
            </w:r>
          </w:p>
        </w:tc>
        <w:tc>
          <w:tcPr>
            <w:tcW w:w="9078" w:type="dxa"/>
            <w:gridSpan w:val="7"/>
            <w:tcBorders>
              <w:top w:val="single" w:sz="4" w:space="0" w:color="auto"/>
              <w:left w:val="single" w:sz="4" w:space="0" w:color="auto"/>
              <w:bottom w:val="single" w:sz="4" w:space="0" w:color="auto"/>
              <w:right w:val="single" w:sz="4" w:space="0" w:color="auto"/>
            </w:tcBorders>
            <w:vAlign w:val="center"/>
          </w:tcPr>
          <w:p w:rsidR="005A533A" w:rsidRDefault="005A533A" w:rsidP="005A533A">
            <w:pPr>
              <w:jc w:val="both"/>
              <w:rPr>
                <w:rFonts w:ascii="Arial" w:hAnsi="Arial" w:cs="Arial"/>
                <w:sz w:val="22"/>
                <w:szCs w:val="22"/>
              </w:rPr>
            </w:pPr>
            <w:r w:rsidRPr="002A0E32">
              <w:rPr>
                <w:rFonts w:ascii="Arial" w:hAnsi="Arial" w:cs="Arial"/>
                <w:sz w:val="22"/>
                <w:szCs w:val="22"/>
              </w:rPr>
              <w:t>To progress Shaping Sefton as the strategic plan for the CCG, in line with the NHSE planning requirements set out in the “Forward View”, underpinned by transformation through the agreed strategic blueprints and programmes.</w:t>
            </w:r>
          </w:p>
        </w:tc>
      </w:tr>
      <w:tr w:rsidR="005A533A" w:rsidTr="005A533A">
        <w:tblPrEx>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5A533A" w:rsidRDefault="005A533A" w:rsidP="005A533A">
            <w:pPr>
              <w:spacing w:before="60" w:after="60"/>
              <w:jc w:val="center"/>
              <w:rPr>
                <w:rFonts w:ascii="Arial" w:hAnsi="Arial"/>
                <w:sz w:val="22"/>
              </w:rPr>
            </w:pPr>
            <w:r>
              <w:rPr>
                <w:rFonts w:ascii="Arial" w:hAnsi="Arial"/>
                <w:sz w:val="22"/>
              </w:rPr>
              <w:t>X</w:t>
            </w:r>
          </w:p>
        </w:tc>
        <w:tc>
          <w:tcPr>
            <w:tcW w:w="9078" w:type="dxa"/>
            <w:gridSpan w:val="7"/>
            <w:tcBorders>
              <w:top w:val="single" w:sz="4" w:space="0" w:color="auto"/>
              <w:left w:val="single" w:sz="4" w:space="0" w:color="auto"/>
              <w:bottom w:val="single" w:sz="4" w:space="0" w:color="auto"/>
              <w:right w:val="single" w:sz="4" w:space="0" w:color="auto"/>
            </w:tcBorders>
            <w:vAlign w:val="center"/>
          </w:tcPr>
          <w:p w:rsidR="005A533A" w:rsidRDefault="005A533A" w:rsidP="005A533A">
            <w:pPr>
              <w:jc w:val="both"/>
              <w:rPr>
                <w:rFonts w:ascii="Arial" w:hAnsi="Arial" w:cs="Arial"/>
                <w:sz w:val="22"/>
                <w:szCs w:val="22"/>
              </w:rPr>
            </w:pPr>
            <w:r w:rsidRPr="002A0E32">
              <w:rPr>
                <w:rFonts w:ascii="Arial" w:hAnsi="Arial" w:cs="Arial"/>
                <w:sz w:val="22"/>
                <w:szCs w:val="22"/>
              </w:rPr>
              <w:t>To ensure that the CCG maintains and manages performance &amp; quality across the mandated constitutional measures.</w:t>
            </w:r>
          </w:p>
        </w:tc>
      </w:tr>
      <w:tr w:rsidR="005A533A" w:rsidTr="005A533A">
        <w:tblPrEx>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5A533A" w:rsidRDefault="005A533A" w:rsidP="005A533A">
            <w:pPr>
              <w:spacing w:before="60" w:after="60"/>
              <w:jc w:val="center"/>
              <w:rPr>
                <w:rFonts w:ascii="Arial" w:hAnsi="Arial"/>
                <w:sz w:val="22"/>
              </w:rPr>
            </w:pPr>
            <w:r>
              <w:rPr>
                <w:rFonts w:ascii="Arial" w:hAnsi="Arial"/>
                <w:sz w:val="22"/>
              </w:rPr>
              <w:t>X</w:t>
            </w:r>
          </w:p>
        </w:tc>
        <w:tc>
          <w:tcPr>
            <w:tcW w:w="9078" w:type="dxa"/>
            <w:gridSpan w:val="7"/>
            <w:tcBorders>
              <w:top w:val="single" w:sz="4" w:space="0" w:color="auto"/>
              <w:left w:val="single" w:sz="4" w:space="0" w:color="auto"/>
              <w:bottom w:val="single" w:sz="4" w:space="0" w:color="auto"/>
              <w:right w:val="single" w:sz="4" w:space="0" w:color="auto"/>
            </w:tcBorders>
            <w:vAlign w:val="center"/>
          </w:tcPr>
          <w:p w:rsidR="005A533A" w:rsidRDefault="005A533A" w:rsidP="005A533A">
            <w:pPr>
              <w:jc w:val="both"/>
              <w:rPr>
                <w:rFonts w:ascii="Arial" w:hAnsi="Arial" w:cs="Arial"/>
                <w:sz w:val="22"/>
                <w:szCs w:val="22"/>
              </w:rPr>
            </w:pPr>
            <w:r w:rsidRPr="002A0E32">
              <w:rPr>
                <w:rFonts w:ascii="Arial" w:hAnsi="Arial" w:cs="Arial"/>
                <w:sz w:val="22"/>
                <w:szCs w:val="22"/>
              </w:rPr>
              <w:t>To support Primary Care Development through the development of an enhanced model of care and supporting estates s</w:t>
            </w:r>
            <w:r>
              <w:rPr>
                <w:rFonts w:ascii="Arial" w:hAnsi="Arial" w:cs="Arial"/>
                <w:sz w:val="22"/>
                <w:szCs w:val="22"/>
              </w:rPr>
              <w:t>trategy, underpinned by a comple</w:t>
            </w:r>
            <w:r w:rsidRPr="002A0E32">
              <w:rPr>
                <w:rFonts w:ascii="Arial" w:hAnsi="Arial" w:cs="Arial"/>
                <w:sz w:val="22"/>
                <w:szCs w:val="22"/>
              </w:rPr>
              <w:t>mentary primary care quality contract.</w:t>
            </w:r>
          </w:p>
        </w:tc>
      </w:tr>
      <w:tr w:rsidR="005A533A" w:rsidTr="005A533A">
        <w:tblPrEx>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5A533A" w:rsidRDefault="005A533A" w:rsidP="005A533A">
            <w:pPr>
              <w:spacing w:before="60" w:after="60"/>
              <w:jc w:val="center"/>
              <w:rPr>
                <w:rFonts w:ascii="Arial" w:hAnsi="Arial"/>
                <w:sz w:val="22"/>
              </w:rPr>
            </w:pPr>
            <w:r>
              <w:rPr>
                <w:rFonts w:ascii="Arial" w:hAnsi="Arial"/>
                <w:sz w:val="22"/>
              </w:rPr>
              <w:t>X</w:t>
            </w:r>
          </w:p>
        </w:tc>
        <w:tc>
          <w:tcPr>
            <w:tcW w:w="9078" w:type="dxa"/>
            <w:gridSpan w:val="7"/>
            <w:tcBorders>
              <w:top w:val="single" w:sz="4" w:space="0" w:color="auto"/>
              <w:left w:val="single" w:sz="4" w:space="0" w:color="auto"/>
              <w:bottom w:val="single" w:sz="4" w:space="0" w:color="auto"/>
              <w:right w:val="single" w:sz="4" w:space="0" w:color="auto"/>
            </w:tcBorders>
            <w:vAlign w:val="center"/>
          </w:tcPr>
          <w:p w:rsidR="005A533A" w:rsidRDefault="005A533A" w:rsidP="005A533A">
            <w:pPr>
              <w:jc w:val="both"/>
              <w:rPr>
                <w:rFonts w:ascii="Arial" w:hAnsi="Arial" w:cs="Arial"/>
                <w:sz w:val="22"/>
                <w:szCs w:val="22"/>
              </w:rPr>
            </w:pPr>
            <w:r w:rsidRPr="002A0E32">
              <w:rPr>
                <w:rFonts w:ascii="Arial" w:hAnsi="Arial" w:cs="Arial"/>
                <w:sz w:val="22"/>
                <w:szCs w:val="22"/>
              </w:rPr>
              <w:t>To advance integration of in-hospital and community services in support of the CCG locality model of care.</w:t>
            </w:r>
          </w:p>
        </w:tc>
      </w:tr>
      <w:tr w:rsidR="005A533A" w:rsidTr="005A533A">
        <w:tblPrEx>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5A533A" w:rsidRDefault="005A533A" w:rsidP="005A533A">
            <w:pPr>
              <w:spacing w:before="60" w:after="60"/>
              <w:jc w:val="center"/>
              <w:rPr>
                <w:rFonts w:ascii="Arial" w:hAnsi="Arial"/>
                <w:sz w:val="22"/>
              </w:rPr>
            </w:pPr>
            <w:r>
              <w:rPr>
                <w:rFonts w:ascii="Arial" w:hAnsi="Arial"/>
                <w:sz w:val="22"/>
              </w:rPr>
              <w:t>X</w:t>
            </w:r>
          </w:p>
        </w:tc>
        <w:tc>
          <w:tcPr>
            <w:tcW w:w="9078" w:type="dxa"/>
            <w:gridSpan w:val="7"/>
            <w:tcBorders>
              <w:top w:val="single" w:sz="4" w:space="0" w:color="auto"/>
              <w:left w:val="single" w:sz="4" w:space="0" w:color="auto"/>
              <w:bottom w:val="single" w:sz="4" w:space="0" w:color="auto"/>
              <w:right w:val="single" w:sz="4" w:space="0" w:color="auto"/>
            </w:tcBorders>
            <w:vAlign w:val="center"/>
          </w:tcPr>
          <w:p w:rsidR="005A533A" w:rsidRDefault="005A533A" w:rsidP="005A533A">
            <w:pPr>
              <w:jc w:val="both"/>
              <w:rPr>
                <w:rFonts w:ascii="Arial" w:hAnsi="Arial" w:cs="Arial"/>
                <w:sz w:val="22"/>
                <w:szCs w:val="22"/>
              </w:rPr>
            </w:pPr>
            <w:r w:rsidRPr="002A0E32">
              <w:rPr>
                <w:rFonts w:ascii="Arial" w:hAnsi="Arial" w:cs="Arial"/>
                <w:sz w:val="22"/>
                <w:szCs w:val="22"/>
              </w:rPr>
              <w:t>To advance the integration of Health and Social Care through collaborative working with Sefton Metropolitan Borough Council, supported by the Health and Wellbeing Board.</w:t>
            </w:r>
          </w:p>
        </w:tc>
      </w:tr>
    </w:tbl>
    <w:p w:rsidR="00294103" w:rsidRDefault="00294103" w:rsidP="00AD38C8">
      <w:pPr>
        <w:jc w:val="both"/>
      </w:pPr>
    </w:p>
    <w:p w:rsidR="00FD4BB7" w:rsidRDefault="00FD4BB7"/>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706"/>
        <w:gridCol w:w="564"/>
        <w:gridCol w:w="706"/>
        <w:gridCol w:w="5219"/>
      </w:tblGrid>
      <w:tr w:rsidR="00FD4BB7" w:rsidRPr="00CA60BE" w:rsidTr="005F4367">
        <w:trPr>
          <w:trHeight w:val="363"/>
          <w:tblHeader/>
        </w:trPr>
        <w:tc>
          <w:tcPr>
            <w:tcW w:w="2399" w:type="dxa"/>
            <w:shd w:val="clear" w:color="auto" w:fill="31849B" w:themeFill="accent5" w:themeFillShade="BF"/>
          </w:tcPr>
          <w:p w:rsidR="00FD4BB7" w:rsidRPr="00CA60BE" w:rsidRDefault="00FD4BB7" w:rsidP="006401D6">
            <w:pPr>
              <w:spacing w:before="60" w:after="60"/>
              <w:jc w:val="both"/>
              <w:rPr>
                <w:rFonts w:ascii="Arial" w:hAnsi="Arial"/>
                <w:b/>
                <w:color w:val="FFFFFF" w:themeColor="background1"/>
                <w:sz w:val="22"/>
              </w:rPr>
            </w:pPr>
            <w:r w:rsidRPr="00CA60BE">
              <w:rPr>
                <w:rFonts w:ascii="Arial" w:hAnsi="Arial"/>
                <w:b/>
                <w:color w:val="FFFFFF" w:themeColor="background1"/>
                <w:sz w:val="22"/>
              </w:rPr>
              <w:t>Process</w:t>
            </w:r>
          </w:p>
        </w:tc>
        <w:tc>
          <w:tcPr>
            <w:tcW w:w="706" w:type="dxa"/>
            <w:shd w:val="clear" w:color="auto" w:fill="31849B" w:themeFill="accent5" w:themeFillShade="BF"/>
          </w:tcPr>
          <w:p w:rsidR="00FD4BB7" w:rsidRPr="00CA60BE" w:rsidRDefault="00FD4BB7" w:rsidP="006401D6">
            <w:pPr>
              <w:spacing w:before="60" w:after="60"/>
              <w:jc w:val="both"/>
              <w:rPr>
                <w:rFonts w:ascii="Arial" w:hAnsi="Arial"/>
                <w:b/>
                <w:color w:val="FFFFFF" w:themeColor="background1"/>
                <w:sz w:val="22"/>
              </w:rPr>
            </w:pPr>
            <w:r w:rsidRPr="00CA60BE">
              <w:rPr>
                <w:rFonts w:ascii="Arial" w:hAnsi="Arial"/>
                <w:b/>
                <w:color w:val="FFFFFF" w:themeColor="background1"/>
                <w:sz w:val="22"/>
              </w:rPr>
              <w:t>Yes</w:t>
            </w:r>
          </w:p>
        </w:tc>
        <w:tc>
          <w:tcPr>
            <w:tcW w:w="564" w:type="dxa"/>
            <w:shd w:val="clear" w:color="auto" w:fill="31849B" w:themeFill="accent5" w:themeFillShade="BF"/>
          </w:tcPr>
          <w:p w:rsidR="00FD4BB7" w:rsidRPr="00CA60BE" w:rsidRDefault="00FD4BB7" w:rsidP="006401D6">
            <w:pPr>
              <w:spacing w:before="60" w:after="60"/>
              <w:jc w:val="both"/>
              <w:rPr>
                <w:rFonts w:ascii="Arial" w:hAnsi="Arial"/>
                <w:b/>
                <w:color w:val="FFFFFF" w:themeColor="background1"/>
                <w:sz w:val="22"/>
              </w:rPr>
            </w:pPr>
            <w:r w:rsidRPr="00CA60BE">
              <w:rPr>
                <w:rFonts w:ascii="Arial" w:hAnsi="Arial"/>
                <w:b/>
                <w:color w:val="FFFFFF" w:themeColor="background1"/>
                <w:sz w:val="22"/>
              </w:rPr>
              <w:t>No</w:t>
            </w:r>
          </w:p>
        </w:tc>
        <w:tc>
          <w:tcPr>
            <w:tcW w:w="706" w:type="dxa"/>
            <w:shd w:val="clear" w:color="auto" w:fill="31849B" w:themeFill="accent5" w:themeFillShade="BF"/>
          </w:tcPr>
          <w:p w:rsidR="00FD4BB7" w:rsidRPr="00CA60BE" w:rsidRDefault="00FD4BB7" w:rsidP="006401D6">
            <w:pPr>
              <w:spacing w:before="60" w:after="60"/>
              <w:jc w:val="both"/>
              <w:rPr>
                <w:rFonts w:ascii="Arial" w:hAnsi="Arial"/>
                <w:b/>
                <w:color w:val="FFFFFF" w:themeColor="background1"/>
                <w:sz w:val="22"/>
              </w:rPr>
            </w:pPr>
            <w:r w:rsidRPr="00CA60BE">
              <w:rPr>
                <w:rFonts w:ascii="Arial" w:hAnsi="Arial"/>
                <w:b/>
                <w:color w:val="FFFFFF" w:themeColor="background1"/>
                <w:sz w:val="22"/>
              </w:rPr>
              <w:t>N/A</w:t>
            </w:r>
          </w:p>
        </w:tc>
        <w:tc>
          <w:tcPr>
            <w:tcW w:w="5219" w:type="dxa"/>
            <w:shd w:val="clear" w:color="auto" w:fill="31849B" w:themeFill="accent5" w:themeFillShade="BF"/>
          </w:tcPr>
          <w:p w:rsidR="00FD4BB7" w:rsidRPr="00CA60BE" w:rsidRDefault="00FD4BB7" w:rsidP="006401D6">
            <w:pPr>
              <w:spacing w:before="60" w:after="60"/>
              <w:jc w:val="both"/>
              <w:rPr>
                <w:rFonts w:ascii="Arial" w:hAnsi="Arial"/>
                <w:b/>
                <w:color w:val="FFFFFF" w:themeColor="background1"/>
                <w:sz w:val="22"/>
              </w:rPr>
            </w:pPr>
            <w:r w:rsidRPr="00CA60BE">
              <w:rPr>
                <w:rFonts w:ascii="Arial" w:hAnsi="Arial"/>
                <w:b/>
                <w:color w:val="FFFFFF" w:themeColor="background1"/>
                <w:sz w:val="22"/>
              </w:rPr>
              <w:t xml:space="preserve">Comments/Detail </w:t>
            </w:r>
            <w:r w:rsidRPr="00CA60BE">
              <w:rPr>
                <w:rFonts w:ascii="Arial" w:hAnsi="Arial"/>
                <w:b/>
                <w:i/>
                <w:color w:val="FFFFFF" w:themeColor="background1"/>
                <w:sz w:val="22"/>
              </w:rPr>
              <w:t>(x those that apply)</w:t>
            </w:r>
          </w:p>
        </w:tc>
      </w:tr>
      <w:tr w:rsidR="00FD4BB7" w:rsidRPr="00AA69FC" w:rsidTr="005F4367">
        <w:trPr>
          <w:trHeight w:val="595"/>
        </w:trPr>
        <w:tc>
          <w:tcPr>
            <w:tcW w:w="2399" w:type="dxa"/>
          </w:tcPr>
          <w:p w:rsidR="00FD4BB7" w:rsidRPr="00AA69FC" w:rsidRDefault="00FD4BB7" w:rsidP="006401D6">
            <w:pPr>
              <w:spacing w:before="60" w:after="60"/>
              <w:jc w:val="both"/>
              <w:rPr>
                <w:rFonts w:ascii="Arial" w:hAnsi="Arial"/>
                <w:sz w:val="22"/>
              </w:rPr>
            </w:pPr>
            <w:r>
              <w:rPr>
                <w:rFonts w:ascii="Arial" w:hAnsi="Arial"/>
                <w:sz w:val="22"/>
              </w:rPr>
              <w:t xml:space="preserve">Patient and Public Engagement </w:t>
            </w:r>
          </w:p>
        </w:tc>
        <w:tc>
          <w:tcPr>
            <w:tcW w:w="706" w:type="dxa"/>
            <w:shd w:val="clear" w:color="auto" w:fill="auto"/>
          </w:tcPr>
          <w:p w:rsidR="00FD4BB7" w:rsidRPr="00AA69FC" w:rsidRDefault="00FD4BB7" w:rsidP="006401D6">
            <w:pPr>
              <w:spacing w:before="60" w:after="60"/>
              <w:jc w:val="both"/>
              <w:rPr>
                <w:rFonts w:ascii="Arial" w:hAnsi="Arial"/>
                <w:sz w:val="22"/>
              </w:rPr>
            </w:pPr>
            <w:r>
              <w:rPr>
                <w:rFonts w:ascii="Arial" w:hAnsi="Arial"/>
                <w:sz w:val="22"/>
              </w:rPr>
              <w:t>X</w:t>
            </w:r>
          </w:p>
        </w:tc>
        <w:tc>
          <w:tcPr>
            <w:tcW w:w="564" w:type="dxa"/>
            <w:shd w:val="clear" w:color="auto" w:fill="auto"/>
          </w:tcPr>
          <w:p w:rsidR="00FD4BB7" w:rsidRPr="00AA69FC" w:rsidRDefault="00FD4BB7" w:rsidP="006401D6">
            <w:pPr>
              <w:spacing w:before="60" w:after="60"/>
              <w:jc w:val="both"/>
              <w:rPr>
                <w:rFonts w:ascii="Arial" w:hAnsi="Arial"/>
                <w:sz w:val="22"/>
              </w:rPr>
            </w:pPr>
          </w:p>
        </w:tc>
        <w:tc>
          <w:tcPr>
            <w:tcW w:w="706" w:type="dxa"/>
            <w:shd w:val="clear" w:color="auto" w:fill="auto"/>
          </w:tcPr>
          <w:p w:rsidR="00FD4BB7" w:rsidRPr="00AA69FC" w:rsidRDefault="00FD4BB7" w:rsidP="006401D6">
            <w:pPr>
              <w:spacing w:before="60" w:after="60"/>
              <w:jc w:val="both"/>
              <w:rPr>
                <w:rFonts w:ascii="Arial" w:hAnsi="Arial"/>
                <w:sz w:val="22"/>
              </w:rPr>
            </w:pPr>
          </w:p>
        </w:tc>
        <w:tc>
          <w:tcPr>
            <w:tcW w:w="5219" w:type="dxa"/>
            <w:shd w:val="clear" w:color="auto" w:fill="auto"/>
          </w:tcPr>
          <w:p w:rsidR="00FD4BB7" w:rsidRPr="00AA69FC" w:rsidRDefault="00FD4BB7" w:rsidP="006401D6">
            <w:pPr>
              <w:spacing w:before="60" w:after="60"/>
              <w:jc w:val="both"/>
              <w:rPr>
                <w:rFonts w:ascii="Arial" w:hAnsi="Arial"/>
                <w:sz w:val="22"/>
              </w:rPr>
            </w:pPr>
            <w:r>
              <w:rPr>
                <w:rFonts w:ascii="Arial" w:hAnsi="Arial"/>
                <w:sz w:val="22"/>
              </w:rPr>
              <w:t>Ongoing public engagement</w:t>
            </w:r>
          </w:p>
        </w:tc>
      </w:tr>
      <w:tr w:rsidR="00FD4BB7" w:rsidRPr="00AA69FC" w:rsidTr="005F4367">
        <w:trPr>
          <w:trHeight w:val="363"/>
        </w:trPr>
        <w:tc>
          <w:tcPr>
            <w:tcW w:w="2399" w:type="dxa"/>
          </w:tcPr>
          <w:p w:rsidR="00FD4BB7" w:rsidRDefault="00FD4BB7" w:rsidP="006401D6">
            <w:pPr>
              <w:spacing w:before="60" w:after="60"/>
              <w:jc w:val="both"/>
              <w:rPr>
                <w:rFonts w:ascii="Arial" w:hAnsi="Arial"/>
                <w:sz w:val="22"/>
              </w:rPr>
            </w:pPr>
            <w:r>
              <w:rPr>
                <w:rFonts w:ascii="Arial" w:hAnsi="Arial"/>
                <w:sz w:val="22"/>
              </w:rPr>
              <w:t>Clinical Engagement</w:t>
            </w:r>
          </w:p>
        </w:tc>
        <w:tc>
          <w:tcPr>
            <w:tcW w:w="706" w:type="dxa"/>
            <w:shd w:val="clear" w:color="auto" w:fill="auto"/>
          </w:tcPr>
          <w:p w:rsidR="00FD4BB7" w:rsidRPr="00AA69FC" w:rsidRDefault="00FD4BB7" w:rsidP="006401D6">
            <w:pPr>
              <w:spacing w:before="60" w:after="60"/>
              <w:jc w:val="both"/>
              <w:rPr>
                <w:rFonts w:ascii="Arial" w:hAnsi="Arial"/>
                <w:sz w:val="22"/>
              </w:rPr>
            </w:pPr>
            <w:r>
              <w:rPr>
                <w:rFonts w:ascii="Arial" w:hAnsi="Arial"/>
                <w:sz w:val="22"/>
              </w:rPr>
              <w:t>X</w:t>
            </w:r>
          </w:p>
        </w:tc>
        <w:tc>
          <w:tcPr>
            <w:tcW w:w="564" w:type="dxa"/>
            <w:shd w:val="clear" w:color="auto" w:fill="auto"/>
          </w:tcPr>
          <w:p w:rsidR="00FD4BB7" w:rsidRPr="00AA69FC" w:rsidRDefault="00FD4BB7" w:rsidP="006401D6">
            <w:pPr>
              <w:spacing w:before="60" w:after="60"/>
              <w:jc w:val="both"/>
              <w:rPr>
                <w:rFonts w:ascii="Arial" w:hAnsi="Arial"/>
                <w:sz w:val="22"/>
              </w:rPr>
            </w:pPr>
          </w:p>
        </w:tc>
        <w:tc>
          <w:tcPr>
            <w:tcW w:w="706" w:type="dxa"/>
            <w:shd w:val="clear" w:color="auto" w:fill="auto"/>
          </w:tcPr>
          <w:p w:rsidR="00FD4BB7" w:rsidRPr="00AA69FC" w:rsidRDefault="00FD4BB7" w:rsidP="006401D6">
            <w:pPr>
              <w:spacing w:before="60" w:after="60"/>
              <w:jc w:val="both"/>
              <w:rPr>
                <w:rFonts w:ascii="Arial" w:hAnsi="Arial"/>
                <w:sz w:val="22"/>
              </w:rPr>
            </w:pPr>
          </w:p>
        </w:tc>
        <w:tc>
          <w:tcPr>
            <w:tcW w:w="5219" w:type="dxa"/>
            <w:shd w:val="clear" w:color="auto" w:fill="auto"/>
          </w:tcPr>
          <w:p w:rsidR="00FD4BB7" w:rsidRPr="00AA69FC" w:rsidRDefault="00FD4BB7" w:rsidP="006401D6">
            <w:pPr>
              <w:spacing w:before="60" w:after="60"/>
              <w:jc w:val="both"/>
              <w:rPr>
                <w:rFonts w:ascii="Arial" w:hAnsi="Arial"/>
                <w:sz w:val="22"/>
              </w:rPr>
            </w:pPr>
          </w:p>
        </w:tc>
      </w:tr>
      <w:tr w:rsidR="00FD4BB7" w:rsidRPr="00AA69FC" w:rsidTr="005F4367">
        <w:trPr>
          <w:trHeight w:val="595"/>
        </w:trPr>
        <w:tc>
          <w:tcPr>
            <w:tcW w:w="2399" w:type="dxa"/>
          </w:tcPr>
          <w:p w:rsidR="00FD4BB7" w:rsidRDefault="00FD4BB7" w:rsidP="006401D6">
            <w:pPr>
              <w:spacing w:before="60" w:after="60"/>
              <w:jc w:val="both"/>
              <w:rPr>
                <w:rFonts w:ascii="Arial" w:hAnsi="Arial"/>
                <w:sz w:val="22"/>
              </w:rPr>
            </w:pPr>
            <w:r>
              <w:rPr>
                <w:rFonts w:ascii="Arial" w:hAnsi="Arial"/>
                <w:sz w:val="22"/>
              </w:rPr>
              <w:t>Equality Impact Assessment</w:t>
            </w:r>
          </w:p>
        </w:tc>
        <w:tc>
          <w:tcPr>
            <w:tcW w:w="706" w:type="dxa"/>
            <w:shd w:val="clear" w:color="auto" w:fill="auto"/>
          </w:tcPr>
          <w:p w:rsidR="00FD4BB7" w:rsidRPr="00AA69FC" w:rsidRDefault="00FD4BB7" w:rsidP="006401D6">
            <w:pPr>
              <w:spacing w:before="60" w:after="60"/>
              <w:jc w:val="both"/>
              <w:rPr>
                <w:rFonts w:ascii="Arial" w:hAnsi="Arial"/>
                <w:sz w:val="22"/>
              </w:rPr>
            </w:pPr>
          </w:p>
        </w:tc>
        <w:tc>
          <w:tcPr>
            <w:tcW w:w="564" w:type="dxa"/>
            <w:shd w:val="clear" w:color="auto" w:fill="auto"/>
          </w:tcPr>
          <w:p w:rsidR="00FD4BB7" w:rsidRPr="00AA69FC" w:rsidRDefault="00FD4BB7" w:rsidP="006401D6">
            <w:pPr>
              <w:spacing w:before="60" w:after="60"/>
              <w:jc w:val="both"/>
              <w:rPr>
                <w:rFonts w:ascii="Arial" w:hAnsi="Arial"/>
                <w:sz w:val="22"/>
              </w:rPr>
            </w:pPr>
          </w:p>
        </w:tc>
        <w:tc>
          <w:tcPr>
            <w:tcW w:w="706" w:type="dxa"/>
            <w:shd w:val="clear" w:color="auto" w:fill="auto"/>
          </w:tcPr>
          <w:p w:rsidR="00FD4BB7" w:rsidRPr="00AA69FC" w:rsidRDefault="00FD4BB7" w:rsidP="006401D6">
            <w:pPr>
              <w:spacing w:before="60" w:after="60"/>
              <w:jc w:val="both"/>
              <w:rPr>
                <w:rFonts w:ascii="Arial" w:hAnsi="Arial"/>
                <w:sz w:val="22"/>
              </w:rPr>
            </w:pPr>
            <w:r>
              <w:rPr>
                <w:rFonts w:ascii="Arial" w:hAnsi="Arial"/>
                <w:sz w:val="22"/>
              </w:rPr>
              <w:t>X</w:t>
            </w:r>
          </w:p>
        </w:tc>
        <w:tc>
          <w:tcPr>
            <w:tcW w:w="5219" w:type="dxa"/>
            <w:shd w:val="clear" w:color="auto" w:fill="auto"/>
          </w:tcPr>
          <w:p w:rsidR="00FD4BB7" w:rsidRPr="00AA69FC" w:rsidRDefault="00FD4BB7" w:rsidP="006401D6">
            <w:pPr>
              <w:spacing w:before="60" w:after="60"/>
              <w:jc w:val="both"/>
              <w:rPr>
                <w:rFonts w:ascii="Arial" w:hAnsi="Arial"/>
                <w:sz w:val="22"/>
              </w:rPr>
            </w:pPr>
          </w:p>
        </w:tc>
      </w:tr>
      <w:tr w:rsidR="00FD4BB7" w:rsidRPr="00AA69FC" w:rsidTr="005F4367">
        <w:trPr>
          <w:trHeight w:val="348"/>
        </w:trPr>
        <w:tc>
          <w:tcPr>
            <w:tcW w:w="2399" w:type="dxa"/>
          </w:tcPr>
          <w:p w:rsidR="00FD4BB7" w:rsidRDefault="00FD4BB7" w:rsidP="006401D6">
            <w:pPr>
              <w:spacing w:before="60" w:after="60"/>
              <w:jc w:val="both"/>
              <w:rPr>
                <w:rFonts w:ascii="Arial" w:hAnsi="Arial"/>
                <w:sz w:val="22"/>
              </w:rPr>
            </w:pPr>
            <w:r>
              <w:rPr>
                <w:rFonts w:ascii="Arial" w:hAnsi="Arial"/>
                <w:sz w:val="22"/>
              </w:rPr>
              <w:t>Legal Advice Sought</w:t>
            </w:r>
          </w:p>
        </w:tc>
        <w:tc>
          <w:tcPr>
            <w:tcW w:w="706" w:type="dxa"/>
            <w:shd w:val="clear" w:color="auto" w:fill="auto"/>
          </w:tcPr>
          <w:p w:rsidR="00FD4BB7" w:rsidRPr="00AA69FC" w:rsidRDefault="00FD4BB7" w:rsidP="006401D6">
            <w:pPr>
              <w:spacing w:before="60" w:after="60"/>
              <w:jc w:val="both"/>
              <w:rPr>
                <w:rFonts w:ascii="Arial" w:hAnsi="Arial"/>
                <w:sz w:val="22"/>
              </w:rPr>
            </w:pPr>
          </w:p>
        </w:tc>
        <w:tc>
          <w:tcPr>
            <w:tcW w:w="564" w:type="dxa"/>
            <w:shd w:val="clear" w:color="auto" w:fill="auto"/>
          </w:tcPr>
          <w:p w:rsidR="00FD4BB7" w:rsidRPr="00AA69FC" w:rsidRDefault="00FD4BB7" w:rsidP="006401D6">
            <w:pPr>
              <w:spacing w:before="60" w:after="60"/>
              <w:jc w:val="both"/>
              <w:rPr>
                <w:rFonts w:ascii="Arial" w:hAnsi="Arial"/>
                <w:sz w:val="22"/>
              </w:rPr>
            </w:pPr>
          </w:p>
        </w:tc>
        <w:tc>
          <w:tcPr>
            <w:tcW w:w="706" w:type="dxa"/>
            <w:shd w:val="clear" w:color="auto" w:fill="auto"/>
          </w:tcPr>
          <w:p w:rsidR="00FD4BB7" w:rsidRPr="00AA69FC" w:rsidRDefault="00FD4BB7" w:rsidP="006401D6">
            <w:pPr>
              <w:spacing w:before="60" w:after="60"/>
              <w:jc w:val="both"/>
              <w:rPr>
                <w:rFonts w:ascii="Arial" w:hAnsi="Arial"/>
                <w:sz w:val="22"/>
              </w:rPr>
            </w:pPr>
            <w:r>
              <w:rPr>
                <w:rFonts w:ascii="Arial" w:hAnsi="Arial"/>
                <w:sz w:val="22"/>
              </w:rPr>
              <w:t>X</w:t>
            </w:r>
          </w:p>
        </w:tc>
        <w:tc>
          <w:tcPr>
            <w:tcW w:w="5219" w:type="dxa"/>
            <w:shd w:val="clear" w:color="auto" w:fill="auto"/>
          </w:tcPr>
          <w:p w:rsidR="00FD4BB7" w:rsidRPr="00AA69FC" w:rsidRDefault="00FD4BB7" w:rsidP="006401D6">
            <w:pPr>
              <w:spacing w:before="60" w:after="60"/>
              <w:jc w:val="both"/>
              <w:rPr>
                <w:rFonts w:ascii="Arial" w:hAnsi="Arial"/>
                <w:sz w:val="22"/>
              </w:rPr>
            </w:pPr>
          </w:p>
        </w:tc>
      </w:tr>
      <w:tr w:rsidR="00FD4BB7" w:rsidRPr="00AA69FC" w:rsidTr="005F4367">
        <w:trPr>
          <w:trHeight w:val="609"/>
        </w:trPr>
        <w:tc>
          <w:tcPr>
            <w:tcW w:w="2399" w:type="dxa"/>
          </w:tcPr>
          <w:p w:rsidR="00FD4BB7" w:rsidRDefault="00FD4BB7" w:rsidP="006401D6">
            <w:pPr>
              <w:spacing w:before="60" w:after="60"/>
              <w:jc w:val="both"/>
              <w:rPr>
                <w:rFonts w:ascii="Arial" w:hAnsi="Arial"/>
                <w:sz w:val="22"/>
              </w:rPr>
            </w:pPr>
            <w:r>
              <w:rPr>
                <w:rFonts w:ascii="Arial" w:hAnsi="Arial"/>
                <w:sz w:val="22"/>
              </w:rPr>
              <w:t>Resource Implications Considered</w:t>
            </w:r>
          </w:p>
        </w:tc>
        <w:tc>
          <w:tcPr>
            <w:tcW w:w="706" w:type="dxa"/>
            <w:shd w:val="clear" w:color="auto" w:fill="auto"/>
          </w:tcPr>
          <w:p w:rsidR="00FD4BB7" w:rsidRPr="00AA69FC" w:rsidRDefault="00FD4BB7" w:rsidP="006401D6">
            <w:pPr>
              <w:spacing w:before="60" w:after="60"/>
              <w:jc w:val="both"/>
              <w:rPr>
                <w:rFonts w:ascii="Arial" w:hAnsi="Arial"/>
                <w:sz w:val="22"/>
              </w:rPr>
            </w:pPr>
            <w:r>
              <w:rPr>
                <w:rFonts w:ascii="Arial" w:hAnsi="Arial"/>
                <w:sz w:val="22"/>
              </w:rPr>
              <w:t>X</w:t>
            </w:r>
          </w:p>
        </w:tc>
        <w:tc>
          <w:tcPr>
            <w:tcW w:w="564" w:type="dxa"/>
            <w:shd w:val="clear" w:color="auto" w:fill="auto"/>
          </w:tcPr>
          <w:p w:rsidR="00FD4BB7" w:rsidRPr="00AA69FC" w:rsidRDefault="00FD4BB7" w:rsidP="006401D6">
            <w:pPr>
              <w:spacing w:before="60" w:after="60"/>
              <w:jc w:val="both"/>
              <w:rPr>
                <w:rFonts w:ascii="Arial" w:hAnsi="Arial"/>
                <w:sz w:val="22"/>
              </w:rPr>
            </w:pPr>
          </w:p>
        </w:tc>
        <w:tc>
          <w:tcPr>
            <w:tcW w:w="706" w:type="dxa"/>
            <w:shd w:val="clear" w:color="auto" w:fill="auto"/>
          </w:tcPr>
          <w:p w:rsidR="00FD4BB7" w:rsidRPr="00AA69FC" w:rsidRDefault="00FD4BB7" w:rsidP="006401D6">
            <w:pPr>
              <w:spacing w:before="60" w:after="60"/>
              <w:jc w:val="both"/>
              <w:rPr>
                <w:rFonts w:ascii="Arial" w:hAnsi="Arial"/>
                <w:sz w:val="22"/>
              </w:rPr>
            </w:pPr>
          </w:p>
        </w:tc>
        <w:tc>
          <w:tcPr>
            <w:tcW w:w="5219" w:type="dxa"/>
            <w:shd w:val="clear" w:color="auto" w:fill="auto"/>
          </w:tcPr>
          <w:p w:rsidR="00FD4BB7" w:rsidRPr="00AA69FC" w:rsidRDefault="00FD4BB7" w:rsidP="006401D6">
            <w:pPr>
              <w:spacing w:before="60" w:after="60"/>
              <w:jc w:val="both"/>
              <w:rPr>
                <w:rFonts w:ascii="Arial" w:hAnsi="Arial"/>
                <w:sz w:val="22"/>
              </w:rPr>
            </w:pPr>
          </w:p>
        </w:tc>
      </w:tr>
      <w:tr w:rsidR="00FD4BB7" w:rsidRPr="00AA69FC" w:rsidTr="005F4367">
        <w:trPr>
          <w:trHeight w:val="348"/>
        </w:trPr>
        <w:tc>
          <w:tcPr>
            <w:tcW w:w="2399" w:type="dxa"/>
          </w:tcPr>
          <w:p w:rsidR="00FD4BB7" w:rsidRDefault="00FD4BB7" w:rsidP="006401D6">
            <w:pPr>
              <w:spacing w:before="60" w:after="60"/>
              <w:jc w:val="both"/>
              <w:rPr>
                <w:rFonts w:ascii="Arial" w:hAnsi="Arial"/>
                <w:sz w:val="22"/>
              </w:rPr>
            </w:pPr>
            <w:r>
              <w:rPr>
                <w:rFonts w:ascii="Arial" w:hAnsi="Arial"/>
                <w:sz w:val="22"/>
              </w:rPr>
              <w:t>Locality Engagement</w:t>
            </w:r>
          </w:p>
        </w:tc>
        <w:tc>
          <w:tcPr>
            <w:tcW w:w="706" w:type="dxa"/>
            <w:shd w:val="clear" w:color="auto" w:fill="auto"/>
          </w:tcPr>
          <w:p w:rsidR="00FD4BB7" w:rsidRPr="00AA69FC" w:rsidRDefault="00FD4BB7" w:rsidP="006401D6">
            <w:pPr>
              <w:spacing w:before="60" w:after="60"/>
              <w:jc w:val="both"/>
              <w:rPr>
                <w:rFonts w:ascii="Arial" w:hAnsi="Arial"/>
                <w:sz w:val="22"/>
              </w:rPr>
            </w:pPr>
          </w:p>
        </w:tc>
        <w:tc>
          <w:tcPr>
            <w:tcW w:w="564" w:type="dxa"/>
            <w:shd w:val="clear" w:color="auto" w:fill="auto"/>
          </w:tcPr>
          <w:p w:rsidR="00FD4BB7" w:rsidRPr="00AA69FC" w:rsidRDefault="00FD4BB7" w:rsidP="006401D6">
            <w:pPr>
              <w:spacing w:before="60" w:after="60"/>
              <w:jc w:val="both"/>
              <w:rPr>
                <w:rFonts w:ascii="Arial" w:hAnsi="Arial"/>
                <w:sz w:val="22"/>
              </w:rPr>
            </w:pPr>
            <w:r>
              <w:rPr>
                <w:rFonts w:ascii="Arial" w:hAnsi="Arial"/>
                <w:sz w:val="22"/>
              </w:rPr>
              <w:t>X</w:t>
            </w:r>
          </w:p>
        </w:tc>
        <w:tc>
          <w:tcPr>
            <w:tcW w:w="706" w:type="dxa"/>
            <w:shd w:val="clear" w:color="auto" w:fill="auto"/>
          </w:tcPr>
          <w:p w:rsidR="00FD4BB7" w:rsidRPr="00AA69FC" w:rsidRDefault="00FD4BB7" w:rsidP="006401D6">
            <w:pPr>
              <w:spacing w:before="60" w:after="60"/>
              <w:jc w:val="both"/>
              <w:rPr>
                <w:rFonts w:ascii="Arial" w:hAnsi="Arial"/>
                <w:sz w:val="22"/>
              </w:rPr>
            </w:pPr>
          </w:p>
        </w:tc>
        <w:tc>
          <w:tcPr>
            <w:tcW w:w="5219" w:type="dxa"/>
            <w:shd w:val="clear" w:color="auto" w:fill="auto"/>
          </w:tcPr>
          <w:p w:rsidR="00FD4BB7" w:rsidRPr="00AA69FC" w:rsidRDefault="00FD4BB7" w:rsidP="006401D6">
            <w:pPr>
              <w:spacing w:before="60" w:after="60"/>
              <w:jc w:val="both"/>
              <w:rPr>
                <w:rFonts w:ascii="Arial" w:hAnsi="Arial"/>
                <w:sz w:val="22"/>
              </w:rPr>
            </w:pPr>
          </w:p>
        </w:tc>
      </w:tr>
      <w:tr w:rsidR="00FD4BB7" w:rsidRPr="00AA69FC" w:rsidTr="005F4367">
        <w:trPr>
          <w:trHeight w:val="609"/>
        </w:trPr>
        <w:tc>
          <w:tcPr>
            <w:tcW w:w="2399" w:type="dxa"/>
          </w:tcPr>
          <w:p w:rsidR="00FD4BB7" w:rsidRDefault="00FD4BB7" w:rsidP="006401D6">
            <w:pPr>
              <w:spacing w:before="60" w:after="60"/>
              <w:jc w:val="both"/>
              <w:rPr>
                <w:rFonts w:ascii="Arial" w:hAnsi="Arial"/>
                <w:sz w:val="22"/>
              </w:rPr>
            </w:pPr>
            <w:r>
              <w:rPr>
                <w:rFonts w:ascii="Arial" w:hAnsi="Arial"/>
                <w:sz w:val="22"/>
              </w:rPr>
              <w:t>Presented to other Committees</w:t>
            </w:r>
          </w:p>
        </w:tc>
        <w:tc>
          <w:tcPr>
            <w:tcW w:w="706" w:type="dxa"/>
            <w:shd w:val="clear" w:color="auto" w:fill="auto"/>
          </w:tcPr>
          <w:p w:rsidR="00FD4BB7" w:rsidRPr="00AA69FC" w:rsidRDefault="00FD4BB7" w:rsidP="006401D6">
            <w:pPr>
              <w:spacing w:before="60" w:after="60"/>
              <w:jc w:val="both"/>
              <w:rPr>
                <w:rFonts w:ascii="Arial" w:hAnsi="Arial"/>
                <w:sz w:val="22"/>
              </w:rPr>
            </w:pPr>
          </w:p>
        </w:tc>
        <w:tc>
          <w:tcPr>
            <w:tcW w:w="564" w:type="dxa"/>
            <w:shd w:val="clear" w:color="auto" w:fill="auto"/>
          </w:tcPr>
          <w:p w:rsidR="00FD4BB7" w:rsidRPr="00AA69FC" w:rsidRDefault="00FD4BB7" w:rsidP="006401D6">
            <w:pPr>
              <w:spacing w:before="60" w:after="60"/>
              <w:jc w:val="both"/>
              <w:rPr>
                <w:rFonts w:ascii="Arial" w:hAnsi="Arial"/>
                <w:sz w:val="22"/>
              </w:rPr>
            </w:pPr>
            <w:r>
              <w:rPr>
                <w:rFonts w:ascii="Arial" w:hAnsi="Arial"/>
                <w:sz w:val="22"/>
              </w:rPr>
              <w:t>X</w:t>
            </w:r>
          </w:p>
        </w:tc>
        <w:tc>
          <w:tcPr>
            <w:tcW w:w="706" w:type="dxa"/>
            <w:shd w:val="clear" w:color="auto" w:fill="auto"/>
          </w:tcPr>
          <w:p w:rsidR="00FD4BB7" w:rsidRPr="00AA69FC" w:rsidRDefault="00FD4BB7" w:rsidP="006401D6">
            <w:pPr>
              <w:spacing w:before="60" w:after="60"/>
              <w:jc w:val="both"/>
              <w:rPr>
                <w:rFonts w:ascii="Arial" w:hAnsi="Arial"/>
                <w:sz w:val="22"/>
              </w:rPr>
            </w:pPr>
          </w:p>
        </w:tc>
        <w:tc>
          <w:tcPr>
            <w:tcW w:w="5219" w:type="dxa"/>
            <w:shd w:val="clear" w:color="auto" w:fill="auto"/>
          </w:tcPr>
          <w:p w:rsidR="00FD4BB7" w:rsidRPr="00AA69FC" w:rsidRDefault="00FD4BB7" w:rsidP="006401D6">
            <w:pPr>
              <w:spacing w:before="60" w:after="60"/>
              <w:jc w:val="both"/>
              <w:rPr>
                <w:rFonts w:ascii="Arial" w:hAnsi="Arial"/>
                <w:sz w:val="22"/>
              </w:rPr>
            </w:pPr>
          </w:p>
        </w:tc>
      </w:tr>
    </w:tbl>
    <w:p w:rsidR="00294103" w:rsidRDefault="0029410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072"/>
      </w:tblGrid>
      <w:tr w:rsidR="00294103" w:rsidRPr="00ED7600" w:rsidTr="005F4367">
        <w:trPr>
          <w:trHeight w:val="350"/>
        </w:trPr>
        <w:tc>
          <w:tcPr>
            <w:tcW w:w="9639" w:type="dxa"/>
            <w:gridSpan w:val="2"/>
            <w:shd w:val="clear" w:color="auto" w:fill="31849B" w:themeFill="accent5" w:themeFillShade="BF"/>
          </w:tcPr>
          <w:p w:rsidR="00294103" w:rsidRPr="00ED7600" w:rsidRDefault="00294103" w:rsidP="006401D6">
            <w:pPr>
              <w:spacing w:before="60" w:after="60"/>
              <w:rPr>
                <w:rFonts w:ascii="Arial" w:hAnsi="Arial" w:cs="Arial"/>
                <w:bCs/>
                <w:color w:val="FFFFFF" w:themeColor="background1"/>
              </w:rPr>
            </w:pPr>
            <w:r w:rsidRPr="00ED7600">
              <w:rPr>
                <w:rFonts w:ascii="Arial" w:hAnsi="Arial" w:cs="Arial"/>
                <w:bCs/>
                <w:color w:val="FFFFFF" w:themeColor="background1"/>
                <w:sz w:val="22"/>
                <w:szCs w:val="22"/>
              </w:rPr>
              <w:t>Links to National Outcomes Framework</w:t>
            </w:r>
            <w:r w:rsidRPr="00ED7600">
              <w:rPr>
                <w:rFonts w:ascii="Arial" w:hAnsi="Arial" w:cs="Arial"/>
                <w:color w:val="FFFFFF" w:themeColor="background1"/>
                <w:sz w:val="22"/>
                <w:szCs w:val="22"/>
              </w:rPr>
              <w:t xml:space="preserve"> </w:t>
            </w:r>
            <w:r w:rsidRPr="00390957">
              <w:rPr>
                <w:rFonts w:ascii="Arial" w:hAnsi="Arial"/>
                <w:i/>
                <w:color w:val="FFFFFF" w:themeColor="background1"/>
                <w:sz w:val="22"/>
              </w:rPr>
              <w:t>(</w:t>
            </w:r>
            <w:r>
              <w:rPr>
                <w:rFonts w:ascii="Arial" w:hAnsi="Arial"/>
                <w:i/>
                <w:color w:val="FFFFFF" w:themeColor="background1"/>
                <w:sz w:val="22"/>
              </w:rPr>
              <w:t xml:space="preserve">x </w:t>
            </w:r>
            <w:r w:rsidRPr="00390957">
              <w:rPr>
                <w:rFonts w:ascii="Arial" w:hAnsi="Arial"/>
                <w:i/>
                <w:color w:val="FFFFFF" w:themeColor="background1"/>
                <w:sz w:val="22"/>
              </w:rPr>
              <w:t>those that apply)</w:t>
            </w:r>
          </w:p>
        </w:tc>
      </w:tr>
      <w:tr w:rsidR="00294103" w:rsidRPr="00AA69FC" w:rsidTr="005F4367">
        <w:trPr>
          <w:trHeight w:val="379"/>
        </w:trPr>
        <w:tc>
          <w:tcPr>
            <w:tcW w:w="567" w:type="dxa"/>
          </w:tcPr>
          <w:p w:rsidR="00294103" w:rsidRPr="00071331" w:rsidRDefault="00FD4BB7" w:rsidP="006401D6">
            <w:pPr>
              <w:spacing w:before="60" w:after="60"/>
              <w:jc w:val="center"/>
              <w:rPr>
                <w:rFonts w:ascii="Arial" w:hAnsi="Arial" w:cs="Arial"/>
              </w:rPr>
            </w:pPr>
            <w:r>
              <w:rPr>
                <w:rFonts w:ascii="Arial" w:hAnsi="Arial" w:cs="Arial"/>
              </w:rPr>
              <w:t>X</w:t>
            </w:r>
          </w:p>
        </w:tc>
        <w:tc>
          <w:tcPr>
            <w:tcW w:w="9072" w:type="dxa"/>
          </w:tcPr>
          <w:p w:rsidR="00294103" w:rsidRPr="00071331" w:rsidRDefault="00294103" w:rsidP="006401D6">
            <w:pPr>
              <w:spacing w:before="60" w:after="60"/>
              <w:rPr>
                <w:rFonts w:ascii="Arial" w:hAnsi="Arial" w:cs="Arial"/>
              </w:rPr>
            </w:pPr>
            <w:r w:rsidRPr="00071331">
              <w:rPr>
                <w:rFonts w:ascii="Arial" w:hAnsi="Arial" w:cs="Arial"/>
                <w:sz w:val="22"/>
                <w:szCs w:val="22"/>
              </w:rPr>
              <w:t>Preventing people from dying prematurely</w:t>
            </w:r>
          </w:p>
        </w:tc>
      </w:tr>
      <w:tr w:rsidR="00294103" w:rsidRPr="00AA69FC" w:rsidTr="005F4367">
        <w:trPr>
          <w:trHeight w:val="379"/>
        </w:trPr>
        <w:tc>
          <w:tcPr>
            <w:tcW w:w="567" w:type="dxa"/>
          </w:tcPr>
          <w:p w:rsidR="00294103" w:rsidRPr="00071331" w:rsidRDefault="00FD4BB7" w:rsidP="006401D6">
            <w:pPr>
              <w:spacing w:before="60" w:after="60"/>
              <w:jc w:val="center"/>
              <w:rPr>
                <w:rFonts w:ascii="Arial" w:hAnsi="Arial" w:cs="Arial"/>
              </w:rPr>
            </w:pPr>
            <w:r>
              <w:rPr>
                <w:rFonts w:ascii="Arial" w:hAnsi="Arial" w:cs="Arial"/>
              </w:rPr>
              <w:t>X</w:t>
            </w:r>
          </w:p>
        </w:tc>
        <w:tc>
          <w:tcPr>
            <w:tcW w:w="9072" w:type="dxa"/>
          </w:tcPr>
          <w:p w:rsidR="00294103" w:rsidRPr="00071331" w:rsidRDefault="00294103" w:rsidP="006401D6">
            <w:pPr>
              <w:spacing w:before="60" w:after="60"/>
              <w:rPr>
                <w:rFonts w:ascii="Arial" w:hAnsi="Arial" w:cs="Arial"/>
              </w:rPr>
            </w:pPr>
            <w:r w:rsidRPr="00071331">
              <w:rPr>
                <w:rFonts w:ascii="Arial" w:hAnsi="Arial" w:cs="Arial"/>
                <w:sz w:val="22"/>
                <w:szCs w:val="22"/>
              </w:rPr>
              <w:t>Enhancing quality of life for people with long-term conditions</w:t>
            </w:r>
          </w:p>
        </w:tc>
      </w:tr>
      <w:tr w:rsidR="00294103" w:rsidRPr="00AA69FC" w:rsidTr="005F4367">
        <w:trPr>
          <w:trHeight w:val="393"/>
        </w:trPr>
        <w:tc>
          <w:tcPr>
            <w:tcW w:w="567" w:type="dxa"/>
          </w:tcPr>
          <w:p w:rsidR="00294103" w:rsidRPr="00071331" w:rsidRDefault="00FD4BB7" w:rsidP="006401D6">
            <w:pPr>
              <w:spacing w:before="60" w:after="60"/>
              <w:jc w:val="center"/>
              <w:rPr>
                <w:rFonts w:ascii="Arial" w:hAnsi="Arial" w:cs="Arial"/>
              </w:rPr>
            </w:pPr>
            <w:r>
              <w:rPr>
                <w:rFonts w:ascii="Arial" w:hAnsi="Arial" w:cs="Arial"/>
              </w:rPr>
              <w:t>X</w:t>
            </w:r>
          </w:p>
        </w:tc>
        <w:tc>
          <w:tcPr>
            <w:tcW w:w="9072" w:type="dxa"/>
          </w:tcPr>
          <w:p w:rsidR="00294103" w:rsidRPr="00071331" w:rsidRDefault="00294103" w:rsidP="006401D6">
            <w:pPr>
              <w:spacing w:before="60" w:after="60"/>
              <w:rPr>
                <w:rFonts w:ascii="Arial" w:hAnsi="Arial" w:cs="Arial"/>
              </w:rPr>
            </w:pPr>
            <w:r w:rsidRPr="00071331">
              <w:rPr>
                <w:rFonts w:ascii="Arial" w:hAnsi="Arial" w:cs="Arial"/>
                <w:sz w:val="22"/>
                <w:szCs w:val="22"/>
              </w:rPr>
              <w:t>Helping people to recover from episodes of ill health or following injury</w:t>
            </w:r>
          </w:p>
        </w:tc>
      </w:tr>
      <w:tr w:rsidR="00294103" w:rsidRPr="00AA69FC" w:rsidTr="005F4367">
        <w:trPr>
          <w:trHeight w:val="379"/>
        </w:trPr>
        <w:tc>
          <w:tcPr>
            <w:tcW w:w="567" w:type="dxa"/>
          </w:tcPr>
          <w:p w:rsidR="00294103" w:rsidRPr="00071331" w:rsidRDefault="00FD4BB7" w:rsidP="006401D6">
            <w:pPr>
              <w:spacing w:before="60" w:after="60"/>
              <w:jc w:val="center"/>
              <w:rPr>
                <w:rFonts w:ascii="Arial" w:hAnsi="Arial" w:cs="Arial"/>
              </w:rPr>
            </w:pPr>
            <w:r>
              <w:rPr>
                <w:rFonts w:ascii="Arial" w:hAnsi="Arial" w:cs="Arial"/>
              </w:rPr>
              <w:t>X</w:t>
            </w:r>
          </w:p>
        </w:tc>
        <w:tc>
          <w:tcPr>
            <w:tcW w:w="9072" w:type="dxa"/>
          </w:tcPr>
          <w:p w:rsidR="00294103" w:rsidRPr="00071331" w:rsidRDefault="00294103" w:rsidP="006401D6">
            <w:pPr>
              <w:spacing w:before="60" w:after="60"/>
              <w:rPr>
                <w:rFonts w:ascii="Arial" w:hAnsi="Arial" w:cs="Arial"/>
              </w:rPr>
            </w:pPr>
            <w:r w:rsidRPr="00071331">
              <w:rPr>
                <w:rFonts w:ascii="Arial" w:hAnsi="Arial" w:cs="Arial"/>
                <w:sz w:val="22"/>
                <w:szCs w:val="22"/>
              </w:rPr>
              <w:t>Ensuring that people have a positive experience of care</w:t>
            </w:r>
          </w:p>
        </w:tc>
      </w:tr>
      <w:tr w:rsidR="00294103" w:rsidRPr="00AA69FC" w:rsidTr="005F4367">
        <w:trPr>
          <w:trHeight w:val="612"/>
        </w:trPr>
        <w:tc>
          <w:tcPr>
            <w:tcW w:w="567" w:type="dxa"/>
          </w:tcPr>
          <w:p w:rsidR="00294103" w:rsidRPr="00071331" w:rsidRDefault="00FD4BB7" w:rsidP="006401D6">
            <w:pPr>
              <w:spacing w:before="60" w:after="60"/>
              <w:jc w:val="center"/>
              <w:rPr>
                <w:rFonts w:ascii="Arial" w:hAnsi="Arial" w:cs="Arial"/>
              </w:rPr>
            </w:pPr>
            <w:r>
              <w:rPr>
                <w:rFonts w:ascii="Arial" w:hAnsi="Arial" w:cs="Arial"/>
              </w:rPr>
              <w:t>X</w:t>
            </w:r>
          </w:p>
        </w:tc>
        <w:tc>
          <w:tcPr>
            <w:tcW w:w="9072" w:type="dxa"/>
          </w:tcPr>
          <w:p w:rsidR="00294103" w:rsidRPr="00071331" w:rsidRDefault="00294103" w:rsidP="006401D6">
            <w:pPr>
              <w:spacing w:before="60" w:after="60"/>
              <w:rPr>
                <w:rFonts w:ascii="Arial" w:hAnsi="Arial" w:cs="Arial"/>
              </w:rPr>
            </w:pPr>
            <w:r w:rsidRPr="00071331">
              <w:rPr>
                <w:rFonts w:ascii="Arial" w:hAnsi="Arial" w:cs="Arial"/>
                <w:sz w:val="22"/>
                <w:szCs w:val="22"/>
              </w:rPr>
              <w:t>Treating and caring for people in a safe environment and protecting them from avoidable harm</w:t>
            </w:r>
          </w:p>
        </w:tc>
      </w:tr>
    </w:tbl>
    <w:p w:rsidR="004C3834" w:rsidRDefault="004C3834" w:rsidP="00AD38C8">
      <w:pPr>
        <w:jc w:val="both"/>
        <w:rPr>
          <w:rFonts w:ascii="Arial" w:hAnsi="Arial" w:cs="Arial"/>
        </w:rPr>
        <w:sectPr w:rsidR="004C3834" w:rsidSect="004C3834">
          <w:headerReference w:type="default" r:id="rId10"/>
          <w:pgSz w:w="11906" w:h="16838"/>
          <w:pgMar w:top="568" w:right="1134" w:bottom="1134" w:left="1134" w:header="709" w:footer="709" w:gutter="0"/>
          <w:cols w:space="708"/>
          <w:docGrid w:linePitch="360"/>
        </w:sectPr>
      </w:pPr>
    </w:p>
    <w:tbl>
      <w:tblPr>
        <w:tblW w:w="9746" w:type="dxa"/>
        <w:tblInd w:w="108" w:type="dxa"/>
        <w:tblLook w:val="01E0" w:firstRow="1" w:lastRow="1" w:firstColumn="1" w:lastColumn="1" w:noHBand="0" w:noVBand="0"/>
      </w:tblPr>
      <w:tblGrid>
        <w:gridCol w:w="7371"/>
        <w:gridCol w:w="2375"/>
      </w:tblGrid>
      <w:tr w:rsidR="00346616" w:rsidRPr="00D429DC" w:rsidTr="00011379">
        <w:tc>
          <w:tcPr>
            <w:tcW w:w="7371" w:type="dxa"/>
          </w:tcPr>
          <w:p w:rsidR="00346616" w:rsidRDefault="00346616" w:rsidP="00AD38C8">
            <w:pPr>
              <w:jc w:val="both"/>
              <w:rPr>
                <w:rFonts w:ascii="Arial" w:hAnsi="Arial" w:cs="Arial"/>
                <w:b/>
                <w:sz w:val="28"/>
                <w:szCs w:val="36"/>
              </w:rPr>
            </w:pPr>
            <w:r w:rsidRPr="000E7795">
              <w:rPr>
                <w:sz w:val="22"/>
              </w:rPr>
              <w:lastRenderedPageBreak/>
              <w:br w:type="page"/>
            </w:r>
            <w:r w:rsidRPr="00081574">
              <w:rPr>
                <w:rFonts w:ascii="Arial" w:hAnsi="Arial" w:cs="Arial"/>
                <w:b/>
                <w:sz w:val="28"/>
                <w:szCs w:val="36"/>
              </w:rPr>
              <w:t xml:space="preserve">Report to </w:t>
            </w:r>
            <w:r w:rsidR="002C184E">
              <w:rPr>
                <w:rFonts w:ascii="Arial" w:hAnsi="Arial" w:cs="Arial"/>
                <w:b/>
                <w:sz w:val="28"/>
                <w:szCs w:val="36"/>
              </w:rPr>
              <w:t>Finance and Resource Committee</w:t>
            </w:r>
          </w:p>
          <w:p w:rsidR="00346616" w:rsidRPr="0089651C" w:rsidRDefault="00E108D1" w:rsidP="00C57274">
            <w:pPr>
              <w:jc w:val="both"/>
              <w:rPr>
                <w:rFonts w:ascii="Arial" w:hAnsi="Arial" w:cs="Arial"/>
                <w:b/>
                <w:sz w:val="28"/>
                <w:szCs w:val="36"/>
              </w:rPr>
            </w:pPr>
            <w:r>
              <w:rPr>
                <w:rFonts w:ascii="Arial" w:hAnsi="Arial" w:cs="Arial"/>
                <w:b/>
                <w:sz w:val="28"/>
                <w:szCs w:val="36"/>
              </w:rPr>
              <w:t>February</w:t>
            </w:r>
            <w:r w:rsidR="002C184E">
              <w:rPr>
                <w:rFonts w:ascii="Arial" w:hAnsi="Arial" w:cs="Arial"/>
                <w:b/>
                <w:sz w:val="28"/>
                <w:szCs w:val="36"/>
              </w:rPr>
              <w:t xml:space="preserve"> </w:t>
            </w:r>
            <w:r w:rsidR="004A4261">
              <w:rPr>
                <w:rFonts w:ascii="Arial" w:hAnsi="Arial" w:cs="Arial"/>
                <w:b/>
                <w:sz w:val="28"/>
                <w:szCs w:val="36"/>
              </w:rPr>
              <w:t>201</w:t>
            </w:r>
            <w:r w:rsidR="00C57274">
              <w:rPr>
                <w:rFonts w:ascii="Arial" w:hAnsi="Arial" w:cs="Arial"/>
                <w:b/>
                <w:sz w:val="28"/>
                <w:szCs w:val="36"/>
              </w:rPr>
              <w:t>7</w:t>
            </w:r>
          </w:p>
        </w:tc>
        <w:tc>
          <w:tcPr>
            <w:tcW w:w="2375" w:type="dxa"/>
          </w:tcPr>
          <w:p w:rsidR="00346616" w:rsidRPr="000E7795" w:rsidRDefault="00346616" w:rsidP="00AD38C8">
            <w:pPr>
              <w:jc w:val="both"/>
              <w:rPr>
                <w:rFonts w:ascii="Arial" w:hAnsi="Arial" w:cs="Arial"/>
                <w:b/>
                <w:sz w:val="32"/>
                <w:szCs w:val="36"/>
              </w:rPr>
            </w:pPr>
          </w:p>
        </w:tc>
      </w:tr>
    </w:tbl>
    <w:p w:rsidR="00607167" w:rsidRDefault="00607167" w:rsidP="00AD38C8">
      <w:pPr>
        <w:jc w:val="both"/>
        <w:rPr>
          <w:rFonts w:ascii="Arial" w:hAnsi="Arial" w:cs="Arial"/>
          <w:sz w:val="22"/>
          <w:szCs w:val="22"/>
        </w:rPr>
      </w:pPr>
    </w:p>
    <w:p w:rsidR="005A533A" w:rsidRPr="000E7795" w:rsidRDefault="005A533A" w:rsidP="00AD38C8">
      <w:pPr>
        <w:jc w:val="both"/>
        <w:rPr>
          <w:rFonts w:ascii="Arial" w:hAnsi="Arial" w:cs="Arial"/>
          <w:sz w:val="22"/>
          <w:szCs w:val="22"/>
        </w:rPr>
      </w:pPr>
    </w:p>
    <w:p w:rsidR="00BB7C3B" w:rsidRPr="000E7795" w:rsidRDefault="00BB7C3B" w:rsidP="00AD38C8">
      <w:pPr>
        <w:numPr>
          <w:ilvl w:val="0"/>
          <w:numId w:val="1"/>
        </w:numPr>
        <w:shd w:val="clear" w:color="auto" w:fill="D9D9D9"/>
        <w:ind w:left="567" w:hanging="567"/>
        <w:jc w:val="both"/>
        <w:rPr>
          <w:rFonts w:ascii="Arial" w:hAnsi="Arial" w:cs="Arial"/>
          <w:b/>
          <w:sz w:val="22"/>
          <w:szCs w:val="22"/>
        </w:rPr>
      </w:pPr>
      <w:r>
        <w:rPr>
          <w:rFonts w:ascii="Arial" w:hAnsi="Arial" w:cs="Arial"/>
          <w:b/>
          <w:sz w:val="22"/>
          <w:szCs w:val="22"/>
        </w:rPr>
        <w:t>Executive Summary</w:t>
      </w:r>
    </w:p>
    <w:p w:rsidR="00BB7C3B" w:rsidRDefault="00BB7C3B" w:rsidP="00AD38C8">
      <w:pPr>
        <w:ind w:left="567"/>
        <w:jc w:val="both"/>
        <w:rPr>
          <w:rFonts w:ascii="Arial" w:hAnsi="Arial" w:cs="Arial"/>
          <w:sz w:val="22"/>
          <w:szCs w:val="22"/>
        </w:rPr>
      </w:pPr>
    </w:p>
    <w:p w:rsidR="00AD38C8" w:rsidRDefault="00AD38C8" w:rsidP="00B20E8E">
      <w:pPr>
        <w:ind w:left="567"/>
        <w:jc w:val="both"/>
        <w:rPr>
          <w:rFonts w:ascii="Arial" w:hAnsi="Arial" w:cs="Arial"/>
          <w:sz w:val="22"/>
          <w:szCs w:val="22"/>
        </w:rPr>
      </w:pPr>
      <w:r w:rsidRPr="002724DB">
        <w:rPr>
          <w:rFonts w:ascii="Arial" w:hAnsi="Arial" w:cs="Arial"/>
          <w:sz w:val="22"/>
          <w:szCs w:val="22"/>
        </w:rPr>
        <w:t xml:space="preserve">This report focuses on the financial performance for South Sefton CCG as at </w:t>
      </w:r>
      <w:r w:rsidR="00C57274">
        <w:rPr>
          <w:rFonts w:ascii="Arial" w:hAnsi="Arial" w:cs="Arial"/>
          <w:sz w:val="22"/>
          <w:szCs w:val="22"/>
        </w:rPr>
        <w:t>31</w:t>
      </w:r>
      <w:r w:rsidR="004E6C6A">
        <w:rPr>
          <w:rFonts w:ascii="Arial" w:hAnsi="Arial" w:cs="Arial"/>
          <w:sz w:val="22"/>
          <w:szCs w:val="22"/>
        </w:rPr>
        <w:t xml:space="preserve"> </w:t>
      </w:r>
      <w:r w:rsidR="00607167">
        <w:rPr>
          <w:rFonts w:ascii="Arial" w:hAnsi="Arial" w:cs="Arial"/>
          <w:sz w:val="22"/>
          <w:szCs w:val="22"/>
        </w:rPr>
        <w:t>January 2017</w:t>
      </w:r>
      <w:r w:rsidRPr="002724DB">
        <w:rPr>
          <w:rFonts w:ascii="Arial" w:hAnsi="Arial" w:cs="Arial"/>
          <w:sz w:val="22"/>
          <w:szCs w:val="22"/>
        </w:rPr>
        <w:t xml:space="preserve"> (Month </w:t>
      </w:r>
      <w:r w:rsidR="00607167">
        <w:rPr>
          <w:rFonts w:ascii="Arial" w:hAnsi="Arial" w:cs="Arial"/>
          <w:sz w:val="22"/>
          <w:szCs w:val="22"/>
        </w:rPr>
        <w:t>10</w:t>
      </w:r>
      <w:r w:rsidRPr="002724DB">
        <w:rPr>
          <w:rFonts w:ascii="Arial" w:hAnsi="Arial" w:cs="Arial"/>
          <w:sz w:val="22"/>
          <w:szCs w:val="22"/>
        </w:rPr>
        <w:t>).</w:t>
      </w:r>
      <w:r>
        <w:rPr>
          <w:rFonts w:ascii="Arial" w:hAnsi="Arial" w:cs="Arial"/>
          <w:sz w:val="22"/>
          <w:szCs w:val="22"/>
        </w:rPr>
        <w:t xml:space="preserve"> </w:t>
      </w:r>
    </w:p>
    <w:p w:rsidR="00AD38C8" w:rsidRDefault="00AD38C8" w:rsidP="00B20E8E">
      <w:pPr>
        <w:ind w:left="567"/>
        <w:jc w:val="both"/>
        <w:rPr>
          <w:rFonts w:ascii="Arial" w:hAnsi="Arial" w:cs="Arial"/>
          <w:sz w:val="22"/>
          <w:szCs w:val="22"/>
        </w:rPr>
      </w:pPr>
    </w:p>
    <w:p w:rsidR="00267D6D" w:rsidRDefault="00267D6D" w:rsidP="00B20E8E">
      <w:pPr>
        <w:ind w:left="567"/>
        <w:jc w:val="both"/>
        <w:rPr>
          <w:rFonts w:ascii="Arial" w:hAnsi="Arial" w:cs="Arial"/>
          <w:sz w:val="22"/>
          <w:szCs w:val="22"/>
        </w:rPr>
      </w:pPr>
      <w:r w:rsidRPr="003449CC">
        <w:rPr>
          <w:rFonts w:ascii="Arial" w:hAnsi="Arial" w:cs="Arial"/>
          <w:sz w:val="22"/>
          <w:szCs w:val="22"/>
        </w:rPr>
        <w:t xml:space="preserve">The forecast outturn position after </w:t>
      </w:r>
      <w:r w:rsidR="002556FE">
        <w:rPr>
          <w:rFonts w:ascii="Arial" w:hAnsi="Arial" w:cs="Arial"/>
          <w:sz w:val="22"/>
          <w:szCs w:val="22"/>
        </w:rPr>
        <w:t xml:space="preserve">the application of </w:t>
      </w:r>
      <w:r w:rsidRPr="003449CC">
        <w:rPr>
          <w:rFonts w:ascii="Arial" w:hAnsi="Arial" w:cs="Arial"/>
          <w:sz w:val="22"/>
          <w:szCs w:val="22"/>
        </w:rPr>
        <w:t xml:space="preserve">reserves is a </w:t>
      </w:r>
      <w:r w:rsidR="00607167">
        <w:rPr>
          <w:rFonts w:ascii="Arial" w:hAnsi="Arial" w:cs="Arial"/>
          <w:sz w:val="22"/>
          <w:szCs w:val="22"/>
        </w:rPr>
        <w:t>deficit</w:t>
      </w:r>
      <w:r w:rsidRPr="003449CC">
        <w:rPr>
          <w:rFonts w:ascii="Arial" w:hAnsi="Arial" w:cs="Arial"/>
          <w:sz w:val="22"/>
          <w:szCs w:val="22"/>
        </w:rPr>
        <w:t xml:space="preserve"> </w:t>
      </w:r>
      <w:r w:rsidR="00607167">
        <w:rPr>
          <w:rFonts w:ascii="Arial" w:hAnsi="Arial" w:cs="Arial"/>
          <w:sz w:val="22"/>
          <w:szCs w:val="22"/>
        </w:rPr>
        <w:t xml:space="preserve">of </w:t>
      </w:r>
      <w:r w:rsidR="00607167" w:rsidRPr="000C49CF">
        <w:rPr>
          <w:rFonts w:ascii="Arial" w:hAnsi="Arial" w:cs="Arial"/>
          <w:b/>
          <w:sz w:val="22"/>
          <w:szCs w:val="22"/>
        </w:rPr>
        <w:t>£2.332</w:t>
      </w:r>
      <w:r w:rsidR="002556FE" w:rsidRPr="000C49CF">
        <w:rPr>
          <w:rFonts w:ascii="Arial" w:hAnsi="Arial" w:cs="Arial"/>
          <w:b/>
          <w:sz w:val="22"/>
          <w:szCs w:val="22"/>
        </w:rPr>
        <w:t>m</w:t>
      </w:r>
      <w:r w:rsidR="002556FE" w:rsidRPr="002B2834">
        <w:rPr>
          <w:rFonts w:ascii="Arial" w:hAnsi="Arial" w:cs="Arial"/>
          <w:sz w:val="22"/>
          <w:szCs w:val="22"/>
        </w:rPr>
        <w:t xml:space="preserve"> </w:t>
      </w:r>
      <w:r w:rsidRPr="002B2834">
        <w:rPr>
          <w:rFonts w:ascii="Arial" w:hAnsi="Arial" w:cs="Arial"/>
          <w:sz w:val="22"/>
          <w:szCs w:val="22"/>
        </w:rPr>
        <w:t>against</w:t>
      </w:r>
      <w:r w:rsidRPr="003449CC">
        <w:rPr>
          <w:rFonts w:ascii="Arial" w:hAnsi="Arial" w:cs="Arial"/>
          <w:sz w:val="22"/>
          <w:szCs w:val="22"/>
        </w:rPr>
        <w:t xml:space="preserve"> a </w:t>
      </w:r>
      <w:r w:rsidR="002556FE">
        <w:rPr>
          <w:rFonts w:ascii="Arial" w:hAnsi="Arial" w:cs="Arial"/>
          <w:sz w:val="22"/>
          <w:szCs w:val="22"/>
        </w:rPr>
        <w:t>planned surplus of £2.450m. The forecast</w:t>
      </w:r>
      <w:r w:rsidRPr="003449CC">
        <w:rPr>
          <w:rFonts w:ascii="Arial" w:hAnsi="Arial" w:cs="Arial"/>
          <w:sz w:val="22"/>
          <w:szCs w:val="22"/>
        </w:rPr>
        <w:t xml:space="preserve"> </w:t>
      </w:r>
      <w:r w:rsidR="002556FE">
        <w:rPr>
          <w:rFonts w:ascii="Arial" w:hAnsi="Arial" w:cs="Arial"/>
          <w:sz w:val="22"/>
          <w:szCs w:val="22"/>
        </w:rPr>
        <w:t xml:space="preserve">position </w:t>
      </w:r>
      <w:r w:rsidRPr="003449CC">
        <w:rPr>
          <w:rFonts w:ascii="Arial" w:hAnsi="Arial" w:cs="Arial"/>
          <w:sz w:val="22"/>
          <w:szCs w:val="22"/>
        </w:rPr>
        <w:t xml:space="preserve">is subject to delivery of </w:t>
      </w:r>
      <w:r w:rsidR="00607167">
        <w:rPr>
          <w:rFonts w:ascii="Arial" w:hAnsi="Arial" w:cs="Arial"/>
          <w:sz w:val="22"/>
          <w:szCs w:val="22"/>
        </w:rPr>
        <w:t>remaining</w:t>
      </w:r>
      <w:r w:rsidRPr="003449CC">
        <w:rPr>
          <w:rFonts w:ascii="Arial" w:hAnsi="Arial" w:cs="Arial"/>
          <w:sz w:val="22"/>
          <w:szCs w:val="22"/>
        </w:rPr>
        <w:t xml:space="preserve"> QIPP </w:t>
      </w:r>
      <w:r w:rsidR="00607167">
        <w:rPr>
          <w:rFonts w:ascii="Arial" w:hAnsi="Arial" w:cs="Arial"/>
          <w:sz w:val="22"/>
          <w:szCs w:val="22"/>
        </w:rPr>
        <w:t>schemes</w:t>
      </w:r>
      <w:r w:rsidRPr="003449CC">
        <w:rPr>
          <w:rFonts w:ascii="Arial" w:hAnsi="Arial" w:cs="Arial"/>
          <w:sz w:val="22"/>
          <w:szCs w:val="22"/>
        </w:rPr>
        <w:t xml:space="preserve"> in 2016/17</w:t>
      </w:r>
      <w:r w:rsidR="00DE2713">
        <w:rPr>
          <w:rFonts w:ascii="Arial" w:hAnsi="Arial" w:cs="Arial"/>
          <w:sz w:val="22"/>
          <w:szCs w:val="22"/>
        </w:rPr>
        <w:t>.</w:t>
      </w:r>
      <w:r w:rsidR="002556FE">
        <w:rPr>
          <w:rFonts w:ascii="Arial" w:hAnsi="Arial" w:cs="Arial"/>
          <w:sz w:val="22"/>
          <w:szCs w:val="22"/>
        </w:rPr>
        <w:t xml:space="preserve"> </w:t>
      </w:r>
      <w:r w:rsidR="00607167">
        <w:rPr>
          <w:rFonts w:ascii="Arial" w:hAnsi="Arial" w:cs="Arial"/>
          <w:sz w:val="22"/>
          <w:szCs w:val="22"/>
        </w:rPr>
        <w:t>R</w:t>
      </w:r>
      <w:r w:rsidRPr="003449CC">
        <w:rPr>
          <w:rFonts w:ascii="Arial" w:hAnsi="Arial" w:cs="Arial"/>
          <w:sz w:val="22"/>
          <w:szCs w:val="22"/>
        </w:rPr>
        <w:t>elease of the 1% uncommitted non recurrent reserve</w:t>
      </w:r>
      <w:r>
        <w:rPr>
          <w:rFonts w:ascii="Arial" w:hAnsi="Arial" w:cs="Arial"/>
          <w:sz w:val="22"/>
          <w:szCs w:val="22"/>
        </w:rPr>
        <w:t>, currently held uncommi</w:t>
      </w:r>
      <w:r w:rsidR="00607167">
        <w:rPr>
          <w:rFonts w:ascii="Arial" w:hAnsi="Arial" w:cs="Arial"/>
          <w:sz w:val="22"/>
          <w:szCs w:val="22"/>
        </w:rPr>
        <w:t>tted as directed by NHS England, would achieve a surplus position of £0.100m.</w:t>
      </w:r>
    </w:p>
    <w:p w:rsidR="00267D6D" w:rsidRDefault="00267D6D" w:rsidP="00B20E8E">
      <w:pPr>
        <w:ind w:left="567"/>
        <w:jc w:val="both"/>
        <w:rPr>
          <w:rFonts w:ascii="Arial" w:hAnsi="Arial" w:cs="Arial"/>
          <w:sz w:val="22"/>
          <w:szCs w:val="22"/>
        </w:rPr>
      </w:pPr>
    </w:p>
    <w:p w:rsidR="00AD38C8" w:rsidRPr="003449CC" w:rsidRDefault="00AD38C8" w:rsidP="00B20E8E">
      <w:pPr>
        <w:ind w:left="567"/>
        <w:jc w:val="both"/>
        <w:rPr>
          <w:rFonts w:ascii="Arial" w:hAnsi="Arial" w:cs="Arial"/>
          <w:sz w:val="22"/>
          <w:szCs w:val="22"/>
        </w:rPr>
      </w:pPr>
      <w:r w:rsidRPr="003449CC">
        <w:rPr>
          <w:rFonts w:ascii="Arial" w:hAnsi="Arial" w:cs="Arial"/>
          <w:sz w:val="22"/>
          <w:szCs w:val="22"/>
        </w:rPr>
        <w:t xml:space="preserve">The financial position </w:t>
      </w:r>
      <w:r w:rsidR="00267D6D">
        <w:rPr>
          <w:rFonts w:ascii="Arial" w:hAnsi="Arial" w:cs="Arial"/>
          <w:sz w:val="22"/>
          <w:szCs w:val="22"/>
        </w:rPr>
        <w:t>relating to</w:t>
      </w:r>
      <w:r w:rsidR="003449CC" w:rsidRPr="003449CC">
        <w:rPr>
          <w:rFonts w:ascii="Arial" w:hAnsi="Arial" w:cs="Arial"/>
          <w:sz w:val="22"/>
          <w:szCs w:val="22"/>
        </w:rPr>
        <w:t xml:space="preserve"> operational budgets </w:t>
      </w:r>
      <w:r w:rsidR="003C46AD">
        <w:rPr>
          <w:rFonts w:ascii="Arial" w:hAnsi="Arial" w:cs="Arial"/>
          <w:sz w:val="22"/>
          <w:szCs w:val="22"/>
        </w:rPr>
        <w:t>at M</w:t>
      </w:r>
      <w:r w:rsidR="00607167">
        <w:rPr>
          <w:rFonts w:ascii="Arial" w:hAnsi="Arial" w:cs="Arial"/>
          <w:sz w:val="22"/>
          <w:szCs w:val="22"/>
        </w:rPr>
        <w:t>onth 10,</w:t>
      </w:r>
      <w:r w:rsidRPr="003449CC">
        <w:rPr>
          <w:rFonts w:ascii="Arial" w:hAnsi="Arial" w:cs="Arial"/>
          <w:sz w:val="22"/>
          <w:szCs w:val="22"/>
        </w:rPr>
        <w:t xml:space="preserve"> before</w:t>
      </w:r>
      <w:r w:rsidR="002815F2" w:rsidRPr="003449CC">
        <w:rPr>
          <w:rFonts w:ascii="Arial" w:hAnsi="Arial" w:cs="Arial"/>
          <w:sz w:val="22"/>
          <w:szCs w:val="22"/>
        </w:rPr>
        <w:t xml:space="preserve"> the application of reserves is</w:t>
      </w:r>
      <w:r w:rsidR="00607167">
        <w:rPr>
          <w:rFonts w:ascii="Arial" w:hAnsi="Arial" w:cs="Arial"/>
          <w:sz w:val="22"/>
          <w:szCs w:val="22"/>
        </w:rPr>
        <w:t xml:space="preserve"> £0.588</w:t>
      </w:r>
      <w:r w:rsidRPr="003449CC">
        <w:rPr>
          <w:rFonts w:ascii="Arial" w:hAnsi="Arial" w:cs="Arial"/>
          <w:sz w:val="22"/>
          <w:szCs w:val="22"/>
        </w:rPr>
        <w:t xml:space="preserve">m </w:t>
      </w:r>
      <w:r w:rsidR="001D21BA">
        <w:rPr>
          <w:rFonts w:ascii="Arial" w:hAnsi="Arial" w:cs="Arial"/>
          <w:sz w:val="22"/>
          <w:szCs w:val="22"/>
        </w:rPr>
        <w:t>ov</w:t>
      </w:r>
      <w:r w:rsidR="003449CC" w:rsidRPr="003449CC">
        <w:rPr>
          <w:rFonts w:ascii="Arial" w:hAnsi="Arial" w:cs="Arial"/>
          <w:sz w:val="22"/>
          <w:szCs w:val="22"/>
        </w:rPr>
        <w:t>erspend against plan</w:t>
      </w:r>
      <w:r w:rsidR="00267D6D">
        <w:rPr>
          <w:rFonts w:ascii="Arial" w:hAnsi="Arial" w:cs="Arial"/>
          <w:sz w:val="22"/>
          <w:szCs w:val="22"/>
        </w:rPr>
        <w:t xml:space="preserve"> with a year-end forecast of</w:t>
      </w:r>
      <w:r w:rsidR="003449CC" w:rsidRPr="003449CC">
        <w:rPr>
          <w:rFonts w:ascii="Arial" w:hAnsi="Arial" w:cs="Arial"/>
          <w:sz w:val="22"/>
          <w:szCs w:val="22"/>
        </w:rPr>
        <w:t xml:space="preserve"> </w:t>
      </w:r>
      <w:r w:rsidR="00607167">
        <w:rPr>
          <w:rFonts w:ascii="Arial" w:hAnsi="Arial" w:cs="Arial"/>
          <w:sz w:val="22"/>
          <w:szCs w:val="22"/>
        </w:rPr>
        <w:t>£1.199</w:t>
      </w:r>
      <w:r w:rsidR="001D21BA">
        <w:rPr>
          <w:rFonts w:ascii="Arial" w:hAnsi="Arial" w:cs="Arial"/>
          <w:sz w:val="22"/>
          <w:szCs w:val="22"/>
        </w:rPr>
        <w:t>m ov</w:t>
      </w:r>
      <w:r w:rsidRPr="003449CC">
        <w:rPr>
          <w:rFonts w:ascii="Arial" w:hAnsi="Arial" w:cs="Arial"/>
          <w:sz w:val="22"/>
          <w:szCs w:val="22"/>
        </w:rPr>
        <w:t>erspen</w:t>
      </w:r>
      <w:r w:rsidR="003449CC" w:rsidRPr="003449CC">
        <w:rPr>
          <w:rFonts w:ascii="Arial" w:hAnsi="Arial" w:cs="Arial"/>
          <w:sz w:val="22"/>
          <w:szCs w:val="22"/>
        </w:rPr>
        <w:t>d</w:t>
      </w:r>
      <w:r w:rsidR="00D73F57">
        <w:rPr>
          <w:rFonts w:ascii="Arial" w:hAnsi="Arial" w:cs="Arial"/>
          <w:sz w:val="22"/>
          <w:szCs w:val="22"/>
        </w:rPr>
        <w:t xml:space="preserve"> following </w:t>
      </w:r>
      <w:r w:rsidR="002556FE">
        <w:rPr>
          <w:rFonts w:ascii="Arial" w:hAnsi="Arial" w:cs="Arial"/>
          <w:sz w:val="22"/>
          <w:szCs w:val="22"/>
        </w:rPr>
        <w:t>mitigation of cost pressures with the</w:t>
      </w:r>
      <w:r w:rsidR="00D73F57">
        <w:rPr>
          <w:rFonts w:ascii="Arial" w:hAnsi="Arial" w:cs="Arial"/>
          <w:sz w:val="22"/>
          <w:szCs w:val="22"/>
        </w:rPr>
        <w:t xml:space="preserve"> CCG contingency</w:t>
      </w:r>
      <w:r w:rsidR="002556FE">
        <w:rPr>
          <w:rFonts w:ascii="Arial" w:hAnsi="Arial" w:cs="Arial"/>
          <w:sz w:val="22"/>
          <w:szCs w:val="22"/>
        </w:rPr>
        <w:t xml:space="preserve"> budget</w:t>
      </w:r>
      <w:r w:rsidRPr="003449CC">
        <w:rPr>
          <w:rFonts w:ascii="Arial" w:hAnsi="Arial" w:cs="Arial"/>
          <w:sz w:val="22"/>
          <w:szCs w:val="22"/>
        </w:rPr>
        <w:t>.</w:t>
      </w:r>
      <w:r w:rsidR="00632D9D" w:rsidRPr="003449CC">
        <w:rPr>
          <w:rFonts w:ascii="Arial" w:hAnsi="Arial" w:cs="Arial"/>
          <w:sz w:val="22"/>
          <w:szCs w:val="22"/>
        </w:rPr>
        <w:t xml:space="preserve"> </w:t>
      </w:r>
      <w:r w:rsidR="0032023F" w:rsidRPr="003449CC">
        <w:rPr>
          <w:rFonts w:ascii="Arial" w:hAnsi="Arial" w:cs="Arial"/>
          <w:sz w:val="22"/>
          <w:szCs w:val="22"/>
        </w:rPr>
        <w:t xml:space="preserve">The </w:t>
      </w:r>
      <w:r w:rsidR="009E534B">
        <w:rPr>
          <w:rFonts w:ascii="Arial" w:hAnsi="Arial" w:cs="Arial"/>
          <w:sz w:val="22"/>
          <w:szCs w:val="22"/>
        </w:rPr>
        <w:t>fore</w:t>
      </w:r>
      <w:r w:rsidR="00842D9D">
        <w:rPr>
          <w:rFonts w:ascii="Arial" w:hAnsi="Arial" w:cs="Arial"/>
          <w:sz w:val="22"/>
          <w:szCs w:val="22"/>
        </w:rPr>
        <w:t>cast position deteriorated by £0</w:t>
      </w:r>
      <w:r w:rsidR="00632D9D" w:rsidRPr="003449CC">
        <w:rPr>
          <w:rFonts w:ascii="Arial" w:hAnsi="Arial" w:cs="Arial"/>
          <w:sz w:val="22"/>
          <w:szCs w:val="22"/>
        </w:rPr>
        <w:t>.</w:t>
      </w:r>
      <w:r w:rsidR="00607167">
        <w:rPr>
          <w:rFonts w:ascii="Arial" w:hAnsi="Arial" w:cs="Arial"/>
          <w:sz w:val="22"/>
          <w:szCs w:val="22"/>
        </w:rPr>
        <w:t>204</w:t>
      </w:r>
      <w:r w:rsidR="00632D9D" w:rsidRPr="003449CC">
        <w:rPr>
          <w:rFonts w:ascii="Arial" w:hAnsi="Arial" w:cs="Arial"/>
          <w:sz w:val="22"/>
          <w:szCs w:val="22"/>
        </w:rPr>
        <w:t>m during the month</w:t>
      </w:r>
      <w:r w:rsidR="002556FE">
        <w:rPr>
          <w:rFonts w:ascii="Arial" w:hAnsi="Arial" w:cs="Arial"/>
          <w:sz w:val="22"/>
          <w:szCs w:val="22"/>
        </w:rPr>
        <w:t xml:space="preserve">, </w:t>
      </w:r>
      <w:r w:rsidR="001F4C9F">
        <w:rPr>
          <w:rFonts w:ascii="Arial" w:hAnsi="Arial" w:cs="Arial"/>
          <w:sz w:val="22"/>
          <w:szCs w:val="22"/>
        </w:rPr>
        <w:t xml:space="preserve">the </w:t>
      </w:r>
      <w:r w:rsidR="000C49CF">
        <w:rPr>
          <w:rFonts w:ascii="Arial" w:hAnsi="Arial" w:cs="Arial"/>
          <w:sz w:val="22"/>
          <w:szCs w:val="22"/>
        </w:rPr>
        <w:t>deterioration</w:t>
      </w:r>
      <w:r w:rsidR="001F4C9F">
        <w:rPr>
          <w:rFonts w:ascii="Arial" w:hAnsi="Arial" w:cs="Arial"/>
          <w:sz w:val="22"/>
          <w:szCs w:val="22"/>
        </w:rPr>
        <w:t xml:space="preserve"> during the year</w:t>
      </w:r>
      <w:r w:rsidR="000C49CF">
        <w:rPr>
          <w:rFonts w:ascii="Arial" w:hAnsi="Arial" w:cs="Arial"/>
          <w:sz w:val="22"/>
          <w:szCs w:val="22"/>
        </w:rPr>
        <w:t xml:space="preserve"> relates</w:t>
      </w:r>
      <w:r w:rsidR="00632D9D" w:rsidRPr="003449CC">
        <w:rPr>
          <w:rFonts w:ascii="Arial" w:hAnsi="Arial" w:cs="Arial"/>
          <w:sz w:val="22"/>
          <w:szCs w:val="22"/>
        </w:rPr>
        <w:t xml:space="preserve"> to </w:t>
      </w:r>
      <w:r w:rsidR="009E534B">
        <w:rPr>
          <w:rFonts w:ascii="Arial" w:hAnsi="Arial" w:cs="Arial"/>
          <w:sz w:val="22"/>
          <w:szCs w:val="22"/>
        </w:rPr>
        <w:t xml:space="preserve">increased </w:t>
      </w:r>
      <w:r w:rsidR="00E66E0B">
        <w:rPr>
          <w:rFonts w:ascii="Arial" w:hAnsi="Arial" w:cs="Arial"/>
          <w:sz w:val="22"/>
          <w:szCs w:val="22"/>
        </w:rPr>
        <w:t>expenditure</w:t>
      </w:r>
      <w:r w:rsidR="00575B06">
        <w:rPr>
          <w:rFonts w:ascii="Arial" w:hAnsi="Arial" w:cs="Arial"/>
          <w:sz w:val="22"/>
          <w:szCs w:val="22"/>
        </w:rPr>
        <w:t xml:space="preserve"> forecasts </w:t>
      </w:r>
      <w:r w:rsidR="00C37814">
        <w:rPr>
          <w:rFonts w:ascii="Arial" w:hAnsi="Arial" w:cs="Arial"/>
          <w:sz w:val="22"/>
          <w:szCs w:val="22"/>
        </w:rPr>
        <w:t>within</w:t>
      </w:r>
      <w:r w:rsidR="00632D9D" w:rsidRPr="003449CC">
        <w:rPr>
          <w:rFonts w:ascii="Arial" w:hAnsi="Arial" w:cs="Arial"/>
          <w:sz w:val="22"/>
          <w:szCs w:val="22"/>
        </w:rPr>
        <w:t xml:space="preserve"> acute c</w:t>
      </w:r>
      <w:r w:rsidR="00776919">
        <w:rPr>
          <w:rFonts w:ascii="Arial" w:hAnsi="Arial" w:cs="Arial"/>
          <w:sz w:val="22"/>
          <w:szCs w:val="22"/>
        </w:rPr>
        <w:t>are</w:t>
      </w:r>
      <w:r w:rsidR="00607167">
        <w:rPr>
          <w:rFonts w:ascii="Arial" w:hAnsi="Arial" w:cs="Arial"/>
          <w:sz w:val="22"/>
          <w:szCs w:val="22"/>
        </w:rPr>
        <w:t>, underperformance against the QIPP plan and cost pressures relating to</w:t>
      </w:r>
      <w:r w:rsidR="001F4C9F">
        <w:rPr>
          <w:rFonts w:ascii="Arial" w:hAnsi="Arial" w:cs="Arial"/>
          <w:sz w:val="22"/>
          <w:szCs w:val="22"/>
        </w:rPr>
        <w:t xml:space="preserve"> the </w:t>
      </w:r>
      <w:r w:rsidR="00FA7126">
        <w:rPr>
          <w:rFonts w:ascii="Arial" w:hAnsi="Arial" w:cs="Arial"/>
          <w:sz w:val="22"/>
          <w:szCs w:val="22"/>
        </w:rPr>
        <w:t xml:space="preserve">national increase in the costs of Funded Nursing Care.  </w:t>
      </w:r>
    </w:p>
    <w:p w:rsidR="00AD38C8" w:rsidRPr="003449CC" w:rsidRDefault="00AD38C8" w:rsidP="00B20E8E">
      <w:pPr>
        <w:jc w:val="both"/>
        <w:rPr>
          <w:rFonts w:ascii="Arial" w:hAnsi="Arial" w:cs="Arial"/>
          <w:sz w:val="22"/>
          <w:szCs w:val="22"/>
        </w:rPr>
      </w:pPr>
    </w:p>
    <w:p w:rsidR="002815F2" w:rsidRPr="00FA7126" w:rsidRDefault="00AD38C8" w:rsidP="00B20E8E">
      <w:pPr>
        <w:ind w:left="567"/>
        <w:jc w:val="both"/>
        <w:rPr>
          <w:rFonts w:ascii="Arial" w:hAnsi="Arial" w:cs="Arial"/>
          <w:sz w:val="22"/>
          <w:szCs w:val="22"/>
        </w:rPr>
      </w:pPr>
      <w:r w:rsidRPr="00FA7126">
        <w:rPr>
          <w:rFonts w:ascii="Arial" w:hAnsi="Arial" w:cs="Arial"/>
          <w:sz w:val="22"/>
          <w:szCs w:val="22"/>
        </w:rPr>
        <w:t>The QIPP requirement to del</w:t>
      </w:r>
      <w:r w:rsidR="00C37814" w:rsidRPr="00FA7126">
        <w:rPr>
          <w:rFonts w:ascii="Arial" w:hAnsi="Arial" w:cs="Arial"/>
          <w:sz w:val="22"/>
          <w:szCs w:val="22"/>
        </w:rPr>
        <w:t>iver the planned surplus of £1.2</w:t>
      </w:r>
      <w:r w:rsidRPr="00FA7126">
        <w:rPr>
          <w:rFonts w:ascii="Arial" w:hAnsi="Arial" w:cs="Arial"/>
          <w:sz w:val="22"/>
          <w:szCs w:val="22"/>
        </w:rPr>
        <w:t xml:space="preserve">50m </w:t>
      </w:r>
      <w:r w:rsidR="00607167">
        <w:rPr>
          <w:rFonts w:ascii="Arial" w:hAnsi="Arial" w:cs="Arial"/>
          <w:sz w:val="22"/>
          <w:szCs w:val="22"/>
        </w:rPr>
        <w:t>for the financial year wa</w:t>
      </w:r>
      <w:r w:rsidRPr="00FA7126">
        <w:rPr>
          <w:rFonts w:ascii="Arial" w:hAnsi="Arial" w:cs="Arial"/>
          <w:sz w:val="22"/>
          <w:szCs w:val="22"/>
        </w:rPr>
        <w:t>s £10.</w:t>
      </w:r>
      <w:r w:rsidR="002815F2" w:rsidRPr="00FA7126">
        <w:rPr>
          <w:rFonts w:ascii="Arial" w:hAnsi="Arial" w:cs="Arial"/>
          <w:sz w:val="22"/>
          <w:szCs w:val="22"/>
        </w:rPr>
        <w:t>384</w:t>
      </w:r>
      <w:r w:rsidRPr="00FA7126">
        <w:rPr>
          <w:rFonts w:ascii="Arial" w:hAnsi="Arial" w:cs="Arial"/>
          <w:sz w:val="22"/>
          <w:szCs w:val="22"/>
        </w:rPr>
        <w:t xml:space="preserve">m. </w:t>
      </w:r>
      <w:r w:rsidR="00F93E4B" w:rsidRPr="00FA7126">
        <w:rPr>
          <w:rFonts w:ascii="Arial" w:hAnsi="Arial" w:cs="Arial"/>
          <w:sz w:val="22"/>
          <w:szCs w:val="22"/>
        </w:rPr>
        <w:t xml:space="preserve"> </w:t>
      </w:r>
      <w:r w:rsidRPr="00FA7126">
        <w:rPr>
          <w:rFonts w:ascii="Arial" w:hAnsi="Arial" w:cs="Arial"/>
          <w:sz w:val="22"/>
          <w:szCs w:val="22"/>
        </w:rPr>
        <w:t xml:space="preserve">QIPP delivered at the end of </w:t>
      </w:r>
      <w:r w:rsidR="00305512" w:rsidRPr="00FA7126">
        <w:rPr>
          <w:rFonts w:ascii="Arial" w:hAnsi="Arial" w:cs="Arial"/>
          <w:sz w:val="22"/>
          <w:szCs w:val="22"/>
        </w:rPr>
        <w:t>M</w:t>
      </w:r>
      <w:r w:rsidRPr="00FA7126">
        <w:rPr>
          <w:rFonts w:ascii="Arial" w:hAnsi="Arial" w:cs="Arial"/>
          <w:sz w:val="22"/>
          <w:szCs w:val="22"/>
        </w:rPr>
        <w:t xml:space="preserve">onth </w:t>
      </w:r>
      <w:r w:rsidR="00607167">
        <w:rPr>
          <w:rFonts w:ascii="Arial" w:hAnsi="Arial" w:cs="Arial"/>
          <w:sz w:val="22"/>
          <w:szCs w:val="22"/>
        </w:rPr>
        <w:t>10</w:t>
      </w:r>
      <w:r w:rsidRPr="00FA7126">
        <w:rPr>
          <w:rFonts w:ascii="Arial" w:hAnsi="Arial" w:cs="Arial"/>
          <w:sz w:val="22"/>
          <w:szCs w:val="22"/>
        </w:rPr>
        <w:t xml:space="preserve"> is £</w:t>
      </w:r>
      <w:r w:rsidR="00607167">
        <w:rPr>
          <w:rFonts w:ascii="Arial" w:hAnsi="Arial" w:cs="Arial"/>
          <w:sz w:val="22"/>
          <w:szCs w:val="22"/>
        </w:rPr>
        <w:t>5.020m</w:t>
      </w:r>
      <w:r w:rsidR="002815F2" w:rsidRPr="00FA7126">
        <w:rPr>
          <w:rFonts w:ascii="Arial" w:hAnsi="Arial" w:cs="Arial"/>
          <w:sz w:val="22"/>
          <w:szCs w:val="22"/>
        </w:rPr>
        <w:t xml:space="preserve"> and the forecast </w:t>
      </w:r>
      <w:r w:rsidR="00C37814" w:rsidRPr="00FA7126">
        <w:rPr>
          <w:rFonts w:ascii="Arial" w:hAnsi="Arial" w:cs="Arial"/>
          <w:sz w:val="22"/>
          <w:szCs w:val="22"/>
        </w:rPr>
        <w:t>ov</w:t>
      </w:r>
      <w:r w:rsidR="002815F2" w:rsidRPr="00FA7126">
        <w:rPr>
          <w:rFonts w:ascii="Arial" w:hAnsi="Arial" w:cs="Arial"/>
          <w:sz w:val="22"/>
          <w:szCs w:val="22"/>
        </w:rPr>
        <w:t>erspend</w:t>
      </w:r>
      <w:r w:rsidR="001D54EA" w:rsidRPr="00FA7126">
        <w:rPr>
          <w:rFonts w:ascii="Arial" w:hAnsi="Arial" w:cs="Arial"/>
          <w:sz w:val="22"/>
          <w:szCs w:val="22"/>
        </w:rPr>
        <w:t xml:space="preserve"> </w:t>
      </w:r>
      <w:r w:rsidR="00D51EF4" w:rsidRPr="00FA7126">
        <w:rPr>
          <w:rFonts w:ascii="Arial" w:hAnsi="Arial" w:cs="Arial"/>
          <w:sz w:val="22"/>
          <w:szCs w:val="22"/>
        </w:rPr>
        <w:t>on operational budgets is £</w:t>
      </w:r>
      <w:r w:rsidR="00607167">
        <w:rPr>
          <w:rFonts w:ascii="Arial" w:hAnsi="Arial" w:cs="Arial"/>
          <w:sz w:val="22"/>
          <w:szCs w:val="22"/>
        </w:rPr>
        <w:t>1</w:t>
      </w:r>
      <w:r w:rsidR="00D51EF4" w:rsidRPr="00FA7126">
        <w:rPr>
          <w:rFonts w:ascii="Arial" w:hAnsi="Arial" w:cs="Arial"/>
          <w:sz w:val="22"/>
          <w:szCs w:val="22"/>
        </w:rPr>
        <w:t>.</w:t>
      </w:r>
      <w:r w:rsidR="00607167">
        <w:rPr>
          <w:rFonts w:ascii="Arial" w:hAnsi="Arial" w:cs="Arial"/>
          <w:sz w:val="22"/>
          <w:szCs w:val="22"/>
        </w:rPr>
        <w:t>199</w:t>
      </w:r>
      <w:r w:rsidR="002815F2" w:rsidRPr="00FA7126">
        <w:rPr>
          <w:rFonts w:ascii="Arial" w:hAnsi="Arial" w:cs="Arial"/>
          <w:sz w:val="22"/>
          <w:szCs w:val="22"/>
        </w:rPr>
        <w:t>m</w:t>
      </w:r>
      <w:r w:rsidRPr="00FA7126">
        <w:rPr>
          <w:rFonts w:ascii="Arial" w:hAnsi="Arial" w:cs="Arial"/>
          <w:sz w:val="22"/>
          <w:szCs w:val="22"/>
        </w:rPr>
        <w:t>.</w:t>
      </w:r>
      <w:r w:rsidR="002815F2" w:rsidRPr="00FA7126">
        <w:rPr>
          <w:rFonts w:ascii="Arial" w:hAnsi="Arial" w:cs="Arial"/>
          <w:sz w:val="22"/>
          <w:szCs w:val="22"/>
        </w:rPr>
        <w:t xml:space="preserve">  </w:t>
      </w:r>
      <w:r w:rsidR="00607167">
        <w:rPr>
          <w:rFonts w:ascii="Arial" w:hAnsi="Arial" w:cs="Arial"/>
          <w:sz w:val="22"/>
          <w:szCs w:val="22"/>
        </w:rPr>
        <w:t>T</w:t>
      </w:r>
      <w:r w:rsidR="00E2374D" w:rsidRPr="00FA7126">
        <w:rPr>
          <w:rFonts w:ascii="Arial" w:hAnsi="Arial" w:cs="Arial"/>
          <w:sz w:val="22"/>
          <w:szCs w:val="22"/>
        </w:rPr>
        <w:t xml:space="preserve">he CCG </w:t>
      </w:r>
      <w:r w:rsidR="00607167">
        <w:rPr>
          <w:rFonts w:ascii="Arial" w:hAnsi="Arial" w:cs="Arial"/>
          <w:sz w:val="22"/>
          <w:szCs w:val="22"/>
        </w:rPr>
        <w:t>anticipates</w:t>
      </w:r>
      <w:r w:rsidR="00E2374D" w:rsidRPr="00FA7126">
        <w:rPr>
          <w:rFonts w:ascii="Arial" w:hAnsi="Arial" w:cs="Arial"/>
          <w:sz w:val="22"/>
          <w:szCs w:val="22"/>
        </w:rPr>
        <w:t xml:space="preserve"> a further </w:t>
      </w:r>
      <w:r w:rsidR="00985B82" w:rsidRPr="00FA7126">
        <w:rPr>
          <w:rFonts w:ascii="Arial" w:hAnsi="Arial" w:cs="Arial"/>
          <w:sz w:val="22"/>
          <w:szCs w:val="22"/>
        </w:rPr>
        <w:t>£</w:t>
      </w:r>
      <w:r w:rsidR="00C37814" w:rsidRPr="00FA7126">
        <w:rPr>
          <w:rFonts w:ascii="Arial" w:hAnsi="Arial" w:cs="Arial"/>
          <w:sz w:val="22"/>
          <w:szCs w:val="22"/>
        </w:rPr>
        <w:t>1</w:t>
      </w:r>
      <w:r w:rsidR="001029FD" w:rsidRPr="00FA7126">
        <w:rPr>
          <w:rFonts w:ascii="Arial" w:hAnsi="Arial" w:cs="Arial"/>
          <w:sz w:val="22"/>
          <w:szCs w:val="22"/>
        </w:rPr>
        <w:t>.</w:t>
      </w:r>
      <w:r w:rsidR="00607167">
        <w:rPr>
          <w:rFonts w:ascii="Arial" w:hAnsi="Arial" w:cs="Arial"/>
          <w:sz w:val="22"/>
          <w:szCs w:val="22"/>
        </w:rPr>
        <w:t>331</w:t>
      </w:r>
      <w:r w:rsidR="0010003C" w:rsidRPr="00FA7126">
        <w:rPr>
          <w:rFonts w:ascii="Arial" w:hAnsi="Arial" w:cs="Arial"/>
          <w:sz w:val="22"/>
          <w:szCs w:val="22"/>
        </w:rPr>
        <w:t>m</w:t>
      </w:r>
      <w:r w:rsidR="00E2374D" w:rsidRPr="00FA7126">
        <w:rPr>
          <w:rFonts w:ascii="Arial" w:hAnsi="Arial" w:cs="Arial"/>
          <w:sz w:val="22"/>
          <w:szCs w:val="22"/>
        </w:rPr>
        <w:t xml:space="preserve"> worth of savings to be delivered </w:t>
      </w:r>
      <w:r w:rsidR="00607167">
        <w:rPr>
          <w:rFonts w:ascii="Arial" w:hAnsi="Arial" w:cs="Arial"/>
          <w:sz w:val="22"/>
          <w:szCs w:val="22"/>
        </w:rPr>
        <w:t>in the remainder of the financial year</w:t>
      </w:r>
      <w:r w:rsidR="00575B06" w:rsidRPr="00FA7126">
        <w:rPr>
          <w:rFonts w:ascii="Arial" w:hAnsi="Arial" w:cs="Arial"/>
          <w:sz w:val="22"/>
          <w:szCs w:val="22"/>
        </w:rPr>
        <w:t>.</w:t>
      </w:r>
      <w:r w:rsidR="0010003C" w:rsidRPr="00FA7126">
        <w:rPr>
          <w:rFonts w:ascii="Arial" w:hAnsi="Arial" w:cs="Arial"/>
          <w:sz w:val="22"/>
          <w:szCs w:val="22"/>
        </w:rPr>
        <w:t xml:space="preserve"> </w:t>
      </w:r>
      <w:r w:rsidR="00575B06" w:rsidRPr="00FA7126">
        <w:rPr>
          <w:rFonts w:ascii="Arial" w:hAnsi="Arial" w:cs="Arial"/>
          <w:sz w:val="22"/>
          <w:szCs w:val="22"/>
        </w:rPr>
        <w:t xml:space="preserve">The result of all these factors means that the CCG is forecasting a </w:t>
      </w:r>
      <w:r w:rsidR="00FA7126" w:rsidRPr="00FA7126">
        <w:rPr>
          <w:rFonts w:ascii="Arial" w:hAnsi="Arial" w:cs="Arial"/>
          <w:sz w:val="22"/>
          <w:szCs w:val="22"/>
        </w:rPr>
        <w:t xml:space="preserve">likely position of a </w:t>
      </w:r>
      <w:r w:rsidR="00575B06" w:rsidRPr="00FA7126">
        <w:rPr>
          <w:rFonts w:ascii="Arial" w:hAnsi="Arial" w:cs="Arial"/>
          <w:sz w:val="22"/>
          <w:szCs w:val="22"/>
        </w:rPr>
        <w:t>£</w:t>
      </w:r>
      <w:r w:rsidR="00FA7126" w:rsidRPr="00FA7126">
        <w:rPr>
          <w:rFonts w:ascii="Arial" w:hAnsi="Arial" w:cs="Arial"/>
          <w:sz w:val="22"/>
          <w:szCs w:val="22"/>
        </w:rPr>
        <w:t>2.</w:t>
      </w:r>
      <w:r w:rsidR="00607167">
        <w:rPr>
          <w:rFonts w:ascii="Arial" w:hAnsi="Arial" w:cs="Arial"/>
          <w:sz w:val="22"/>
          <w:szCs w:val="22"/>
        </w:rPr>
        <w:t>332</w:t>
      </w:r>
      <w:r w:rsidR="00575B06" w:rsidRPr="00FA7126">
        <w:rPr>
          <w:rFonts w:ascii="Arial" w:hAnsi="Arial" w:cs="Arial"/>
          <w:sz w:val="22"/>
          <w:szCs w:val="22"/>
        </w:rPr>
        <w:t xml:space="preserve">m </w:t>
      </w:r>
      <w:r w:rsidR="00FA7126" w:rsidRPr="00FA7126">
        <w:rPr>
          <w:rFonts w:ascii="Arial" w:hAnsi="Arial" w:cs="Arial"/>
          <w:sz w:val="22"/>
          <w:szCs w:val="22"/>
        </w:rPr>
        <w:t xml:space="preserve">deficit </w:t>
      </w:r>
      <w:r w:rsidR="00575B06" w:rsidRPr="00FA7126">
        <w:rPr>
          <w:rFonts w:ascii="Arial" w:hAnsi="Arial" w:cs="Arial"/>
          <w:sz w:val="22"/>
          <w:szCs w:val="22"/>
        </w:rPr>
        <w:t xml:space="preserve">as highlighted in </w:t>
      </w:r>
      <w:r w:rsidR="00D73F57" w:rsidRPr="00FA7126">
        <w:rPr>
          <w:rFonts w:ascii="Arial" w:hAnsi="Arial" w:cs="Arial"/>
          <w:b/>
          <w:sz w:val="22"/>
          <w:szCs w:val="22"/>
        </w:rPr>
        <w:t>Table F</w:t>
      </w:r>
      <w:r w:rsidR="0010003C" w:rsidRPr="00FA7126">
        <w:rPr>
          <w:rFonts w:ascii="Arial" w:hAnsi="Arial" w:cs="Arial"/>
          <w:sz w:val="22"/>
          <w:szCs w:val="22"/>
        </w:rPr>
        <w:t>.</w:t>
      </w:r>
    </w:p>
    <w:p w:rsidR="00F93E4B" w:rsidRDefault="00F93E4B" w:rsidP="00D73F57">
      <w:pPr>
        <w:jc w:val="both"/>
        <w:rPr>
          <w:rFonts w:ascii="Arial" w:hAnsi="Arial" w:cs="Arial"/>
          <w:bCs/>
          <w:sz w:val="22"/>
          <w:szCs w:val="22"/>
        </w:rPr>
      </w:pPr>
    </w:p>
    <w:p w:rsidR="00D51EF4" w:rsidRPr="00326F96" w:rsidRDefault="00AD38C8" w:rsidP="00326F96">
      <w:pPr>
        <w:ind w:left="567"/>
        <w:jc w:val="both"/>
        <w:rPr>
          <w:rFonts w:ascii="Arial" w:hAnsi="Arial" w:cs="Arial"/>
          <w:bCs/>
          <w:sz w:val="22"/>
          <w:szCs w:val="22"/>
        </w:rPr>
      </w:pPr>
      <w:r>
        <w:rPr>
          <w:rFonts w:ascii="Arial" w:hAnsi="Arial" w:cs="Arial"/>
          <w:bCs/>
          <w:sz w:val="22"/>
          <w:szCs w:val="22"/>
        </w:rPr>
        <w:t xml:space="preserve">The high level CCG financial indicators are listed below in </w:t>
      </w:r>
      <w:r w:rsidR="009471DD">
        <w:rPr>
          <w:rFonts w:ascii="Arial" w:hAnsi="Arial" w:cs="Arial"/>
          <w:b/>
          <w:bCs/>
          <w:sz w:val="22"/>
          <w:szCs w:val="22"/>
        </w:rPr>
        <w:t>T</w:t>
      </w:r>
      <w:r w:rsidRPr="001C2776">
        <w:rPr>
          <w:rFonts w:ascii="Arial" w:hAnsi="Arial" w:cs="Arial"/>
          <w:b/>
          <w:bCs/>
          <w:sz w:val="22"/>
          <w:szCs w:val="22"/>
        </w:rPr>
        <w:t>able A</w:t>
      </w:r>
      <w:r>
        <w:rPr>
          <w:rFonts w:ascii="Arial" w:hAnsi="Arial" w:cs="Arial"/>
          <w:bCs/>
          <w:sz w:val="22"/>
          <w:szCs w:val="22"/>
        </w:rPr>
        <w:t>.</w:t>
      </w:r>
    </w:p>
    <w:p w:rsidR="00E66E0B" w:rsidRDefault="00E66E0B" w:rsidP="00AD38C8">
      <w:pPr>
        <w:ind w:left="567"/>
        <w:jc w:val="both"/>
        <w:rPr>
          <w:rFonts w:ascii="Arial" w:hAnsi="Arial" w:cs="Arial"/>
          <w:sz w:val="22"/>
          <w:szCs w:val="22"/>
        </w:rPr>
      </w:pPr>
    </w:p>
    <w:p w:rsidR="00D15C61" w:rsidRDefault="00AD38C8" w:rsidP="00D51EF4">
      <w:pPr>
        <w:ind w:left="567"/>
        <w:jc w:val="both"/>
        <w:rPr>
          <w:rFonts w:ascii="Arial" w:hAnsi="Arial" w:cs="Arial"/>
          <w:b/>
          <w:sz w:val="22"/>
          <w:szCs w:val="22"/>
        </w:rPr>
      </w:pPr>
      <w:r w:rsidRPr="00AB143A">
        <w:rPr>
          <w:rFonts w:ascii="Arial" w:hAnsi="Arial" w:cs="Arial"/>
          <w:b/>
          <w:sz w:val="22"/>
          <w:szCs w:val="22"/>
        </w:rPr>
        <w:t xml:space="preserve">Table </w:t>
      </w:r>
      <w:proofErr w:type="gramStart"/>
      <w:r w:rsidRPr="00AB143A">
        <w:rPr>
          <w:rFonts w:ascii="Arial" w:hAnsi="Arial" w:cs="Arial"/>
          <w:b/>
          <w:sz w:val="22"/>
          <w:szCs w:val="22"/>
        </w:rPr>
        <w:t>A</w:t>
      </w:r>
      <w:proofErr w:type="gramEnd"/>
      <w:r w:rsidRPr="00AB143A">
        <w:rPr>
          <w:rFonts w:ascii="Arial" w:hAnsi="Arial" w:cs="Arial"/>
          <w:b/>
          <w:sz w:val="22"/>
          <w:szCs w:val="22"/>
        </w:rPr>
        <w:t xml:space="preserve"> – Financial Dashboard</w:t>
      </w:r>
    </w:p>
    <w:p w:rsidR="00D51EF4" w:rsidRPr="00B265CC" w:rsidRDefault="00D51EF4" w:rsidP="006945CC">
      <w:pPr>
        <w:jc w:val="both"/>
        <w:rPr>
          <w:rFonts w:ascii="Arial" w:hAnsi="Arial" w:cs="Arial"/>
          <w:b/>
          <w:sz w:val="22"/>
          <w:szCs w:val="22"/>
        </w:rPr>
      </w:pPr>
    </w:p>
    <w:tbl>
      <w:tblPr>
        <w:tblW w:w="8408" w:type="dxa"/>
        <w:jc w:val="center"/>
        <w:tblInd w:w="93" w:type="dxa"/>
        <w:tblLook w:val="04A0" w:firstRow="1" w:lastRow="0" w:firstColumn="1" w:lastColumn="0" w:noHBand="0" w:noVBand="1"/>
      </w:tblPr>
      <w:tblGrid>
        <w:gridCol w:w="906"/>
        <w:gridCol w:w="1749"/>
        <w:gridCol w:w="3480"/>
        <w:gridCol w:w="1170"/>
        <w:gridCol w:w="1103"/>
      </w:tblGrid>
      <w:tr w:rsidR="00D27651" w:rsidTr="00453A89">
        <w:trPr>
          <w:trHeight w:val="630"/>
          <w:jc w:val="center"/>
        </w:trPr>
        <w:tc>
          <w:tcPr>
            <w:tcW w:w="90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D38C8" w:rsidRDefault="00AD38C8" w:rsidP="00AD38C8">
            <w:pPr>
              <w:jc w:val="both"/>
              <w:rPr>
                <w:rFonts w:ascii="Calibri" w:hAnsi="Calibri"/>
                <w:b/>
                <w:bCs/>
                <w:color w:val="000000"/>
                <w:sz w:val="22"/>
                <w:szCs w:val="22"/>
              </w:rPr>
            </w:pPr>
            <w:r>
              <w:rPr>
                <w:rFonts w:ascii="Calibri" w:hAnsi="Calibri"/>
                <w:b/>
                <w:bCs/>
                <w:color w:val="000000"/>
                <w:sz w:val="22"/>
                <w:szCs w:val="22"/>
              </w:rPr>
              <w:t>Report Section</w:t>
            </w:r>
          </w:p>
        </w:tc>
        <w:tc>
          <w:tcPr>
            <w:tcW w:w="5229" w:type="dxa"/>
            <w:gridSpan w:val="2"/>
            <w:tcBorders>
              <w:top w:val="single" w:sz="4" w:space="0" w:color="auto"/>
              <w:left w:val="nil"/>
              <w:bottom w:val="single" w:sz="4" w:space="0" w:color="auto"/>
              <w:right w:val="single" w:sz="4" w:space="0" w:color="auto"/>
            </w:tcBorders>
            <w:shd w:val="clear" w:color="000000" w:fill="D9D9D9"/>
            <w:vAlign w:val="center"/>
            <w:hideMark/>
          </w:tcPr>
          <w:p w:rsidR="00AD38C8" w:rsidRDefault="00AD38C8" w:rsidP="00AD38C8">
            <w:pPr>
              <w:jc w:val="both"/>
              <w:rPr>
                <w:rFonts w:ascii="Calibri" w:hAnsi="Calibri"/>
                <w:b/>
                <w:bCs/>
                <w:color w:val="000000"/>
                <w:sz w:val="22"/>
                <w:szCs w:val="22"/>
              </w:rPr>
            </w:pPr>
            <w:r>
              <w:rPr>
                <w:rFonts w:ascii="Calibri" w:hAnsi="Calibri"/>
                <w:b/>
                <w:bCs/>
                <w:color w:val="000000"/>
                <w:sz w:val="22"/>
                <w:szCs w:val="22"/>
              </w:rPr>
              <w:t>Key Performance Indicator</w:t>
            </w:r>
          </w:p>
        </w:tc>
        <w:tc>
          <w:tcPr>
            <w:tcW w:w="1170" w:type="dxa"/>
            <w:tcBorders>
              <w:top w:val="single" w:sz="4" w:space="0" w:color="auto"/>
              <w:left w:val="nil"/>
              <w:bottom w:val="single" w:sz="4" w:space="0" w:color="auto"/>
              <w:right w:val="single" w:sz="4" w:space="0" w:color="auto"/>
            </w:tcBorders>
            <w:shd w:val="clear" w:color="000000" w:fill="D9D9D9"/>
            <w:noWrap/>
            <w:vAlign w:val="bottom"/>
            <w:hideMark/>
          </w:tcPr>
          <w:p w:rsidR="00AD38C8" w:rsidRDefault="00AD38C8" w:rsidP="00AD38C8">
            <w:pPr>
              <w:jc w:val="center"/>
              <w:rPr>
                <w:rFonts w:ascii="Calibri" w:hAnsi="Calibri"/>
                <w:b/>
                <w:bCs/>
                <w:color w:val="000000"/>
                <w:sz w:val="22"/>
                <w:szCs w:val="22"/>
              </w:rPr>
            </w:pPr>
            <w:r>
              <w:rPr>
                <w:rFonts w:ascii="Calibri" w:hAnsi="Calibri"/>
                <w:b/>
                <w:bCs/>
                <w:color w:val="000000"/>
                <w:sz w:val="22"/>
                <w:szCs w:val="22"/>
              </w:rPr>
              <w:t>This Month</w:t>
            </w:r>
          </w:p>
        </w:tc>
        <w:tc>
          <w:tcPr>
            <w:tcW w:w="1103" w:type="dxa"/>
            <w:tcBorders>
              <w:top w:val="single" w:sz="4" w:space="0" w:color="auto"/>
              <w:left w:val="nil"/>
              <w:bottom w:val="single" w:sz="4" w:space="0" w:color="auto"/>
              <w:right w:val="single" w:sz="4" w:space="0" w:color="auto"/>
            </w:tcBorders>
            <w:shd w:val="clear" w:color="000000" w:fill="D9D9D9"/>
            <w:noWrap/>
            <w:vAlign w:val="bottom"/>
            <w:hideMark/>
          </w:tcPr>
          <w:p w:rsidR="00AD38C8" w:rsidRDefault="00AD38C8" w:rsidP="00AD38C8">
            <w:pPr>
              <w:jc w:val="center"/>
              <w:rPr>
                <w:rFonts w:ascii="Calibri" w:hAnsi="Calibri"/>
                <w:b/>
                <w:bCs/>
                <w:color w:val="000000"/>
                <w:sz w:val="22"/>
                <w:szCs w:val="22"/>
              </w:rPr>
            </w:pPr>
            <w:r>
              <w:rPr>
                <w:rFonts w:ascii="Calibri" w:hAnsi="Calibri"/>
                <w:b/>
                <w:bCs/>
                <w:color w:val="000000"/>
                <w:sz w:val="22"/>
                <w:szCs w:val="22"/>
              </w:rPr>
              <w:t>Prior Month</w:t>
            </w:r>
          </w:p>
        </w:tc>
      </w:tr>
      <w:tr w:rsidR="00D27651" w:rsidTr="000C49CF">
        <w:trPr>
          <w:trHeight w:val="330"/>
          <w:jc w:val="center"/>
        </w:trPr>
        <w:tc>
          <w:tcPr>
            <w:tcW w:w="906" w:type="dxa"/>
            <w:vMerge w:val="restart"/>
            <w:tcBorders>
              <w:top w:val="nil"/>
              <w:left w:val="single" w:sz="4" w:space="0" w:color="auto"/>
              <w:bottom w:val="single" w:sz="4" w:space="0" w:color="000000"/>
              <w:right w:val="single" w:sz="4" w:space="0" w:color="auto"/>
            </w:tcBorders>
            <w:shd w:val="clear" w:color="auto" w:fill="auto"/>
            <w:vAlign w:val="center"/>
            <w:hideMark/>
          </w:tcPr>
          <w:p w:rsidR="00AD38C8" w:rsidRDefault="00AD38C8" w:rsidP="00AD38C8">
            <w:pPr>
              <w:jc w:val="both"/>
              <w:rPr>
                <w:rFonts w:ascii="Calibri" w:hAnsi="Calibri"/>
                <w:color w:val="000000"/>
                <w:sz w:val="22"/>
                <w:szCs w:val="22"/>
              </w:rPr>
            </w:pPr>
            <w:r>
              <w:rPr>
                <w:rFonts w:ascii="Calibri" w:hAnsi="Calibri"/>
                <w:color w:val="000000"/>
                <w:sz w:val="22"/>
                <w:szCs w:val="22"/>
              </w:rPr>
              <w:t> 1</w:t>
            </w:r>
          </w:p>
        </w:tc>
        <w:tc>
          <w:tcPr>
            <w:tcW w:w="1749" w:type="dxa"/>
            <w:vMerge w:val="restart"/>
            <w:tcBorders>
              <w:top w:val="nil"/>
              <w:left w:val="single" w:sz="4" w:space="0" w:color="auto"/>
              <w:bottom w:val="single" w:sz="4" w:space="0" w:color="000000"/>
              <w:right w:val="single" w:sz="4" w:space="0" w:color="auto"/>
            </w:tcBorders>
            <w:shd w:val="clear" w:color="auto" w:fill="auto"/>
            <w:vAlign w:val="center"/>
            <w:hideMark/>
          </w:tcPr>
          <w:p w:rsidR="00AD38C8" w:rsidRPr="00475F70" w:rsidRDefault="00AD38C8" w:rsidP="00AD38C8">
            <w:pPr>
              <w:jc w:val="both"/>
              <w:rPr>
                <w:rFonts w:ascii="Calibri" w:hAnsi="Calibri"/>
                <w:color w:val="000000"/>
                <w:sz w:val="22"/>
                <w:szCs w:val="22"/>
              </w:rPr>
            </w:pPr>
            <w:r w:rsidRPr="00475F70">
              <w:rPr>
                <w:rFonts w:ascii="Calibri" w:hAnsi="Calibri"/>
                <w:color w:val="000000"/>
                <w:sz w:val="22"/>
                <w:szCs w:val="22"/>
              </w:rPr>
              <w:t>Business Rule (Forecast Outturn)</w:t>
            </w:r>
          </w:p>
        </w:tc>
        <w:tc>
          <w:tcPr>
            <w:tcW w:w="3480" w:type="dxa"/>
            <w:tcBorders>
              <w:top w:val="nil"/>
              <w:left w:val="nil"/>
              <w:bottom w:val="single" w:sz="4" w:space="0" w:color="auto"/>
              <w:right w:val="single" w:sz="4" w:space="0" w:color="auto"/>
            </w:tcBorders>
            <w:shd w:val="clear" w:color="auto" w:fill="auto"/>
            <w:noWrap/>
            <w:vAlign w:val="center"/>
            <w:hideMark/>
          </w:tcPr>
          <w:p w:rsidR="00AD38C8" w:rsidRPr="00475F70" w:rsidRDefault="00AD38C8" w:rsidP="00AD38C8">
            <w:pPr>
              <w:jc w:val="both"/>
              <w:rPr>
                <w:rFonts w:ascii="Calibri" w:hAnsi="Calibri"/>
                <w:color w:val="000000"/>
                <w:sz w:val="22"/>
                <w:szCs w:val="22"/>
              </w:rPr>
            </w:pPr>
            <w:r w:rsidRPr="00475F70">
              <w:rPr>
                <w:rFonts w:ascii="Calibri" w:hAnsi="Calibri"/>
                <w:color w:val="000000"/>
                <w:sz w:val="22"/>
                <w:szCs w:val="22"/>
              </w:rPr>
              <w:t>1% Surplus</w:t>
            </w:r>
          </w:p>
        </w:tc>
        <w:tc>
          <w:tcPr>
            <w:tcW w:w="1170" w:type="dxa"/>
            <w:tcBorders>
              <w:top w:val="nil"/>
              <w:left w:val="nil"/>
              <w:bottom w:val="single" w:sz="4" w:space="0" w:color="auto"/>
              <w:right w:val="single" w:sz="4" w:space="0" w:color="auto"/>
            </w:tcBorders>
            <w:shd w:val="clear" w:color="000000" w:fill="00B050"/>
            <w:noWrap/>
            <w:vAlign w:val="center"/>
            <w:hideMark/>
          </w:tcPr>
          <w:p w:rsidR="00AD38C8" w:rsidRPr="00A815DB" w:rsidRDefault="00AD38C8" w:rsidP="00AD38C8">
            <w:pPr>
              <w:jc w:val="center"/>
              <w:rPr>
                <w:rFonts w:asciiTheme="minorHAnsi" w:hAnsiTheme="minorHAnsi"/>
                <w:b/>
                <w:bCs/>
                <w:color w:val="FFFFFF"/>
                <w:sz w:val="22"/>
                <w:szCs w:val="22"/>
              </w:rPr>
            </w:pPr>
            <w:r w:rsidRPr="00A815DB">
              <w:rPr>
                <w:rFonts w:asciiTheme="minorHAnsi" w:hAnsiTheme="minorHAnsi"/>
                <w:b/>
                <w:bCs/>
                <w:color w:val="FFFFFF"/>
                <w:sz w:val="22"/>
                <w:szCs w:val="22"/>
              </w:rPr>
              <w:sym w:font="Wingdings 2" w:char="F050"/>
            </w:r>
          </w:p>
        </w:tc>
        <w:tc>
          <w:tcPr>
            <w:tcW w:w="1103" w:type="dxa"/>
            <w:tcBorders>
              <w:top w:val="nil"/>
              <w:left w:val="nil"/>
              <w:bottom w:val="single" w:sz="4" w:space="0" w:color="auto"/>
              <w:right w:val="single" w:sz="4" w:space="0" w:color="auto"/>
            </w:tcBorders>
            <w:shd w:val="clear" w:color="000000" w:fill="00B050"/>
            <w:noWrap/>
            <w:vAlign w:val="center"/>
          </w:tcPr>
          <w:p w:rsidR="00AD38C8" w:rsidRPr="00A815DB" w:rsidRDefault="00AD38C8" w:rsidP="00AD38C8">
            <w:pPr>
              <w:jc w:val="center"/>
              <w:rPr>
                <w:rFonts w:asciiTheme="minorHAnsi" w:hAnsiTheme="minorHAnsi"/>
                <w:b/>
                <w:bCs/>
                <w:color w:val="FFFFFF"/>
                <w:sz w:val="22"/>
                <w:szCs w:val="22"/>
              </w:rPr>
            </w:pPr>
            <w:r w:rsidRPr="00A815DB">
              <w:rPr>
                <w:rFonts w:asciiTheme="minorHAnsi" w:hAnsiTheme="minorHAnsi"/>
                <w:b/>
                <w:bCs/>
                <w:color w:val="FFFFFF"/>
                <w:sz w:val="22"/>
                <w:szCs w:val="22"/>
              </w:rPr>
              <w:sym w:font="Wingdings 2" w:char="F050"/>
            </w:r>
          </w:p>
        </w:tc>
      </w:tr>
      <w:tr w:rsidR="00D27651" w:rsidTr="000C49CF">
        <w:trPr>
          <w:trHeight w:val="330"/>
          <w:jc w:val="center"/>
        </w:trPr>
        <w:tc>
          <w:tcPr>
            <w:tcW w:w="906" w:type="dxa"/>
            <w:vMerge/>
            <w:tcBorders>
              <w:top w:val="nil"/>
              <w:left w:val="single" w:sz="4" w:space="0" w:color="auto"/>
              <w:bottom w:val="single" w:sz="4" w:space="0" w:color="000000"/>
              <w:right w:val="single" w:sz="4" w:space="0" w:color="auto"/>
            </w:tcBorders>
            <w:vAlign w:val="center"/>
            <w:hideMark/>
          </w:tcPr>
          <w:p w:rsidR="00AD38C8" w:rsidRDefault="00AD38C8" w:rsidP="00AD38C8">
            <w:pPr>
              <w:jc w:val="both"/>
              <w:rPr>
                <w:rFonts w:ascii="Calibri" w:hAnsi="Calibri"/>
                <w:color w:val="000000"/>
                <w:sz w:val="22"/>
                <w:szCs w:val="22"/>
              </w:rPr>
            </w:pPr>
          </w:p>
        </w:tc>
        <w:tc>
          <w:tcPr>
            <w:tcW w:w="1749" w:type="dxa"/>
            <w:vMerge/>
            <w:tcBorders>
              <w:top w:val="nil"/>
              <w:left w:val="single" w:sz="4" w:space="0" w:color="auto"/>
              <w:bottom w:val="single" w:sz="4" w:space="0" w:color="000000"/>
              <w:right w:val="single" w:sz="4" w:space="0" w:color="auto"/>
            </w:tcBorders>
            <w:vAlign w:val="center"/>
            <w:hideMark/>
          </w:tcPr>
          <w:p w:rsidR="00AD38C8" w:rsidRPr="00475F70" w:rsidRDefault="00AD38C8" w:rsidP="00AD38C8">
            <w:pPr>
              <w:jc w:val="both"/>
              <w:rPr>
                <w:rFonts w:ascii="Calibri" w:hAnsi="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center"/>
            <w:hideMark/>
          </w:tcPr>
          <w:p w:rsidR="00AD38C8" w:rsidRPr="00475F70" w:rsidRDefault="00AD38C8" w:rsidP="00AD38C8">
            <w:pPr>
              <w:jc w:val="both"/>
              <w:rPr>
                <w:rFonts w:ascii="Calibri" w:hAnsi="Calibri"/>
                <w:color w:val="000000"/>
                <w:sz w:val="22"/>
                <w:szCs w:val="22"/>
              </w:rPr>
            </w:pPr>
            <w:r w:rsidRPr="00475F70">
              <w:rPr>
                <w:rFonts w:ascii="Calibri" w:hAnsi="Calibri"/>
                <w:color w:val="000000"/>
                <w:sz w:val="22"/>
                <w:szCs w:val="22"/>
              </w:rPr>
              <w:t>0.5% Contingency Reserve</w:t>
            </w:r>
          </w:p>
        </w:tc>
        <w:tc>
          <w:tcPr>
            <w:tcW w:w="1170" w:type="dxa"/>
            <w:tcBorders>
              <w:top w:val="nil"/>
              <w:left w:val="nil"/>
              <w:bottom w:val="single" w:sz="4" w:space="0" w:color="auto"/>
              <w:right w:val="single" w:sz="4" w:space="0" w:color="auto"/>
            </w:tcBorders>
            <w:shd w:val="clear" w:color="000000" w:fill="00B050"/>
            <w:noWrap/>
            <w:hideMark/>
          </w:tcPr>
          <w:p w:rsidR="00AD38C8" w:rsidRDefault="00AD38C8" w:rsidP="00AD38C8">
            <w:pPr>
              <w:jc w:val="center"/>
            </w:pPr>
            <w:r w:rsidRPr="009E5968">
              <w:rPr>
                <w:rFonts w:asciiTheme="minorHAnsi" w:hAnsiTheme="minorHAnsi"/>
                <w:b/>
                <w:bCs/>
                <w:color w:val="FFFFFF"/>
                <w:sz w:val="22"/>
                <w:szCs w:val="22"/>
              </w:rPr>
              <w:sym w:font="Wingdings 2" w:char="F050"/>
            </w:r>
          </w:p>
        </w:tc>
        <w:tc>
          <w:tcPr>
            <w:tcW w:w="1103" w:type="dxa"/>
            <w:tcBorders>
              <w:top w:val="nil"/>
              <w:left w:val="nil"/>
              <w:bottom w:val="single" w:sz="4" w:space="0" w:color="auto"/>
              <w:right w:val="single" w:sz="4" w:space="0" w:color="auto"/>
            </w:tcBorders>
            <w:shd w:val="clear" w:color="000000" w:fill="00B050"/>
            <w:noWrap/>
          </w:tcPr>
          <w:p w:rsidR="00AD38C8" w:rsidRDefault="00AD38C8" w:rsidP="00AD38C8">
            <w:pPr>
              <w:jc w:val="center"/>
            </w:pPr>
            <w:r w:rsidRPr="009E5968">
              <w:rPr>
                <w:rFonts w:asciiTheme="minorHAnsi" w:hAnsiTheme="minorHAnsi"/>
                <w:b/>
                <w:bCs/>
                <w:color w:val="FFFFFF"/>
                <w:sz w:val="22"/>
                <w:szCs w:val="22"/>
              </w:rPr>
              <w:sym w:font="Wingdings 2" w:char="F050"/>
            </w:r>
          </w:p>
        </w:tc>
      </w:tr>
      <w:tr w:rsidR="00D27651" w:rsidTr="000C49CF">
        <w:trPr>
          <w:trHeight w:val="330"/>
          <w:jc w:val="center"/>
        </w:trPr>
        <w:tc>
          <w:tcPr>
            <w:tcW w:w="906" w:type="dxa"/>
            <w:vMerge/>
            <w:tcBorders>
              <w:top w:val="nil"/>
              <w:left w:val="single" w:sz="4" w:space="0" w:color="auto"/>
              <w:bottom w:val="single" w:sz="4" w:space="0" w:color="000000"/>
              <w:right w:val="single" w:sz="4" w:space="0" w:color="auto"/>
            </w:tcBorders>
            <w:vAlign w:val="center"/>
            <w:hideMark/>
          </w:tcPr>
          <w:p w:rsidR="00AD38C8" w:rsidRDefault="00AD38C8" w:rsidP="00AD38C8">
            <w:pPr>
              <w:jc w:val="both"/>
              <w:rPr>
                <w:rFonts w:ascii="Calibri" w:hAnsi="Calibri"/>
                <w:color w:val="000000"/>
                <w:sz w:val="22"/>
                <w:szCs w:val="22"/>
              </w:rPr>
            </w:pPr>
          </w:p>
        </w:tc>
        <w:tc>
          <w:tcPr>
            <w:tcW w:w="1749" w:type="dxa"/>
            <w:vMerge/>
            <w:tcBorders>
              <w:top w:val="nil"/>
              <w:left w:val="single" w:sz="4" w:space="0" w:color="auto"/>
              <w:bottom w:val="single" w:sz="4" w:space="0" w:color="000000"/>
              <w:right w:val="single" w:sz="4" w:space="0" w:color="auto"/>
            </w:tcBorders>
            <w:vAlign w:val="center"/>
            <w:hideMark/>
          </w:tcPr>
          <w:p w:rsidR="00AD38C8" w:rsidRPr="00475F70" w:rsidRDefault="00AD38C8" w:rsidP="00AD38C8">
            <w:pPr>
              <w:jc w:val="both"/>
              <w:rPr>
                <w:rFonts w:ascii="Calibri" w:hAnsi="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center"/>
            <w:hideMark/>
          </w:tcPr>
          <w:p w:rsidR="00AD38C8" w:rsidRPr="00475F70" w:rsidRDefault="00AD38C8" w:rsidP="00AD38C8">
            <w:pPr>
              <w:jc w:val="both"/>
              <w:rPr>
                <w:rFonts w:ascii="Calibri" w:hAnsi="Calibri"/>
                <w:color w:val="000000"/>
                <w:sz w:val="22"/>
                <w:szCs w:val="22"/>
              </w:rPr>
            </w:pPr>
            <w:r w:rsidRPr="00475F70">
              <w:rPr>
                <w:rFonts w:ascii="Calibri" w:hAnsi="Calibri"/>
                <w:color w:val="000000"/>
                <w:sz w:val="22"/>
                <w:szCs w:val="22"/>
              </w:rPr>
              <w:t>1% Non-Recurrent Headroom</w:t>
            </w:r>
          </w:p>
        </w:tc>
        <w:tc>
          <w:tcPr>
            <w:tcW w:w="1170" w:type="dxa"/>
            <w:tcBorders>
              <w:top w:val="nil"/>
              <w:left w:val="nil"/>
              <w:bottom w:val="single" w:sz="4" w:space="0" w:color="auto"/>
              <w:right w:val="single" w:sz="4" w:space="0" w:color="auto"/>
            </w:tcBorders>
            <w:shd w:val="clear" w:color="000000" w:fill="00B050"/>
            <w:noWrap/>
            <w:hideMark/>
          </w:tcPr>
          <w:p w:rsidR="00AD38C8" w:rsidRDefault="00AD38C8" w:rsidP="00AD38C8">
            <w:pPr>
              <w:jc w:val="center"/>
            </w:pPr>
            <w:r w:rsidRPr="009E5968">
              <w:rPr>
                <w:rFonts w:asciiTheme="minorHAnsi" w:hAnsiTheme="minorHAnsi"/>
                <w:b/>
                <w:bCs/>
                <w:color w:val="FFFFFF"/>
                <w:sz w:val="22"/>
                <w:szCs w:val="22"/>
              </w:rPr>
              <w:sym w:font="Wingdings 2" w:char="F050"/>
            </w:r>
          </w:p>
        </w:tc>
        <w:tc>
          <w:tcPr>
            <w:tcW w:w="1103" w:type="dxa"/>
            <w:tcBorders>
              <w:top w:val="nil"/>
              <w:left w:val="nil"/>
              <w:bottom w:val="single" w:sz="4" w:space="0" w:color="auto"/>
              <w:right w:val="single" w:sz="4" w:space="0" w:color="auto"/>
            </w:tcBorders>
            <w:shd w:val="clear" w:color="000000" w:fill="00B050"/>
            <w:noWrap/>
          </w:tcPr>
          <w:p w:rsidR="00AD38C8" w:rsidRDefault="00AD38C8" w:rsidP="00AD38C8">
            <w:pPr>
              <w:jc w:val="center"/>
            </w:pPr>
            <w:r w:rsidRPr="009E5968">
              <w:rPr>
                <w:rFonts w:asciiTheme="minorHAnsi" w:hAnsiTheme="minorHAnsi"/>
                <w:b/>
                <w:bCs/>
                <w:color w:val="FFFFFF"/>
                <w:sz w:val="22"/>
                <w:szCs w:val="22"/>
              </w:rPr>
              <w:sym w:font="Wingdings 2" w:char="F050"/>
            </w:r>
          </w:p>
        </w:tc>
      </w:tr>
      <w:tr w:rsidR="00D27651" w:rsidTr="000C49CF">
        <w:trPr>
          <w:trHeight w:val="681"/>
          <w:jc w:val="center"/>
        </w:trPr>
        <w:tc>
          <w:tcPr>
            <w:tcW w:w="906" w:type="dxa"/>
            <w:tcBorders>
              <w:top w:val="nil"/>
              <w:left w:val="single" w:sz="4" w:space="0" w:color="auto"/>
              <w:bottom w:val="single" w:sz="4" w:space="0" w:color="auto"/>
              <w:right w:val="single" w:sz="4" w:space="0" w:color="auto"/>
            </w:tcBorders>
            <w:shd w:val="clear" w:color="auto" w:fill="auto"/>
            <w:vAlign w:val="center"/>
            <w:hideMark/>
          </w:tcPr>
          <w:p w:rsidR="00AD38C8" w:rsidRPr="00764A07" w:rsidRDefault="00AD38C8" w:rsidP="00AD38C8">
            <w:pPr>
              <w:jc w:val="both"/>
              <w:rPr>
                <w:rFonts w:ascii="Calibri" w:hAnsi="Calibri"/>
                <w:color w:val="000000"/>
                <w:sz w:val="22"/>
                <w:szCs w:val="22"/>
              </w:rPr>
            </w:pPr>
            <w:r w:rsidRPr="00764A07">
              <w:rPr>
                <w:rFonts w:ascii="Calibri" w:hAnsi="Calibri"/>
                <w:color w:val="000000"/>
                <w:sz w:val="22"/>
                <w:szCs w:val="22"/>
              </w:rPr>
              <w:t> 2</w:t>
            </w:r>
          </w:p>
        </w:tc>
        <w:tc>
          <w:tcPr>
            <w:tcW w:w="1749" w:type="dxa"/>
            <w:tcBorders>
              <w:top w:val="nil"/>
              <w:left w:val="nil"/>
              <w:bottom w:val="single" w:sz="4" w:space="0" w:color="auto"/>
              <w:right w:val="single" w:sz="4" w:space="0" w:color="auto"/>
            </w:tcBorders>
            <w:shd w:val="clear" w:color="auto" w:fill="auto"/>
            <w:vAlign w:val="center"/>
            <w:hideMark/>
          </w:tcPr>
          <w:p w:rsidR="00AD38C8" w:rsidRPr="00764A07" w:rsidRDefault="00AD38C8" w:rsidP="00AD38C8">
            <w:pPr>
              <w:jc w:val="both"/>
              <w:rPr>
                <w:rFonts w:ascii="Calibri" w:hAnsi="Calibri"/>
                <w:color w:val="000000"/>
                <w:sz w:val="22"/>
                <w:szCs w:val="22"/>
              </w:rPr>
            </w:pPr>
            <w:r w:rsidRPr="00764A07">
              <w:rPr>
                <w:rFonts w:ascii="Calibri" w:hAnsi="Calibri"/>
                <w:color w:val="000000"/>
                <w:sz w:val="22"/>
                <w:szCs w:val="22"/>
              </w:rPr>
              <w:t>Surplus</w:t>
            </w:r>
          </w:p>
        </w:tc>
        <w:tc>
          <w:tcPr>
            <w:tcW w:w="3480" w:type="dxa"/>
            <w:tcBorders>
              <w:top w:val="nil"/>
              <w:left w:val="nil"/>
              <w:bottom w:val="single" w:sz="4" w:space="0" w:color="auto"/>
              <w:right w:val="single" w:sz="4" w:space="0" w:color="auto"/>
            </w:tcBorders>
            <w:shd w:val="clear" w:color="auto" w:fill="auto"/>
            <w:vAlign w:val="center"/>
            <w:hideMark/>
          </w:tcPr>
          <w:p w:rsidR="00AD38C8" w:rsidRDefault="00AD38C8" w:rsidP="00AD38C8">
            <w:pPr>
              <w:jc w:val="both"/>
              <w:rPr>
                <w:rFonts w:ascii="Calibri" w:hAnsi="Calibri"/>
                <w:color w:val="000000"/>
                <w:sz w:val="22"/>
                <w:szCs w:val="22"/>
              </w:rPr>
            </w:pPr>
            <w:r>
              <w:rPr>
                <w:rFonts w:ascii="Calibri" w:hAnsi="Calibri"/>
                <w:color w:val="000000"/>
                <w:sz w:val="22"/>
                <w:szCs w:val="22"/>
              </w:rPr>
              <w:t xml:space="preserve">Financial Surplus / (Deficit) </w:t>
            </w:r>
          </w:p>
        </w:tc>
        <w:tc>
          <w:tcPr>
            <w:tcW w:w="1170" w:type="dxa"/>
            <w:tcBorders>
              <w:top w:val="nil"/>
              <w:left w:val="nil"/>
              <w:bottom w:val="single" w:sz="4" w:space="0" w:color="auto"/>
              <w:right w:val="single" w:sz="4" w:space="0" w:color="auto"/>
            </w:tcBorders>
            <w:shd w:val="clear" w:color="auto" w:fill="FF0000"/>
            <w:noWrap/>
            <w:vAlign w:val="center"/>
            <w:hideMark/>
          </w:tcPr>
          <w:p w:rsidR="00AD38C8" w:rsidRPr="00A815DB" w:rsidRDefault="00607167" w:rsidP="00607167">
            <w:pPr>
              <w:jc w:val="center"/>
              <w:rPr>
                <w:rFonts w:asciiTheme="minorHAnsi" w:hAnsiTheme="minorHAnsi"/>
                <w:b/>
                <w:bCs/>
                <w:color w:val="000000"/>
                <w:sz w:val="22"/>
                <w:szCs w:val="22"/>
              </w:rPr>
            </w:pPr>
            <w:r>
              <w:rPr>
                <w:rFonts w:asciiTheme="minorHAnsi" w:hAnsiTheme="minorHAnsi"/>
                <w:b/>
                <w:bCs/>
                <w:color w:val="FFFFFF" w:themeColor="background1"/>
                <w:sz w:val="22"/>
                <w:szCs w:val="22"/>
              </w:rPr>
              <w:t>(</w:t>
            </w:r>
            <w:r w:rsidR="00AD38C8" w:rsidRPr="005D2FD8">
              <w:rPr>
                <w:rFonts w:asciiTheme="minorHAnsi" w:hAnsiTheme="minorHAnsi"/>
                <w:b/>
                <w:bCs/>
                <w:color w:val="FFFFFF" w:themeColor="background1"/>
                <w:sz w:val="22"/>
                <w:szCs w:val="22"/>
              </w:rPr>
              <w:t>£</w:t>
            </w:r>
            <w:r>
              <w:rPr>
                <w:rFonts w:asciiTheme="minorHAnsi" w:hAnsiTheme="minorHAnsi"/>
                <w:b/>
                <w:bCs/>
                <w:color w:val="FFFFFF" w:themeColor="background1"/>
                <w:sz w:val="22"/>
                <w:szCs w:val="22"/>
              </w:rPr>
              <w:t>2</w:t>
            </w:r>
            <w:r w:rsidR="00D2528C">
              <w:rPr>
                <w:rFonts w:asciiTheme="minorHAnsi" w:hAnsiTheme="minorHAnsi"/>
                <w:b/>
                <w:bCs/>
                <w:color w:val="FFFFFF" w:themeColor="background1"/>
                <w:sz w:val="22"/>
                <w:szCs w:val="22"/>
              </w:rPr>
              <w:t>.</w:t>
            </w:r>
            <w:r>
              <w:rPr>
                <w:rFonts w:asciiTheme="minorHAnsi" w:hAnsiTheme="minorHAnsi"/>
                <w:b/>
                <w:bCs/>
                <w:color w:val="FFFFFF" w:themeColor="background1"/>
                <w:sz w:val="22"/>
                <w:szCs w:val="22"/>
              </w:rPr>
              <w:t>332</w:t>
            </w:r>
            <w:r w:rsidR="00D2528C">
              <w:rPr>
                <w:rFonts w:asciiTheme="minorHAnsi" w:hAnsiTheme="minorHAnsi"/>
                <w:b/>
                <w:bCs/>
                <w:color w:val="FFFFFF" w:themeColor="background1"/>
                <w:sz w:val="22"/>
                <w:szCs w:val="22"/>
              </w:rPr>
              <w:t>m</w:t>
            </w:r>
            <w:r>
              <w:rPr>
                <w:rFonts w:asciiTheme="minorHAnsi" w:hAnsiTheme="minorHAnsi"/>
                <w:b/>
                <w:bCs/>
                <w:color w:val="FFFFFF" w:themeColor="background1"/>
                <w:sz w:val="22"/>
                <w:szCs w:val="22"/>
              </w:rPr>
              <w:t>)</w:t>
            </w:r>
          </w:p>
        </w:tc>
        <w:tc>
          <w:tcPr>
            <w:tcW w:w="1103" w:type="dxa"/>
            <w:tcBorders>
              <w:top w:val="nil"/>
              <w:left w:val="nil"/>
              <w:bottom w:val="single" w:sz="4" w:space="0" w:color="auto"/>
              <w:right w:val="single" w:sz="4" w:space="0" w:color="auto"/>
            </w:tcBorders>
            <w:shd w:val="clear" w:color="auto" w:fill="00B050"/>
            <w:noWrap/>
            <w:vAlign w:val="center"/>
          </w:tcPr>
          <w:p w:rsidR="00AD38C8" w:rsidRPr="00A815DB" w:rsidRDefault="00AD38C8" w:rsidP="00842D9D">
            <w:pPr>
              <w:jc w:val="center"/>
              <w:rPr>
                <w:rFonts w:asciiTheme="minorHAnsi" w:hAnsiTheme="minorHAnsi"/>
                <w:b/>
                <w:bCs/>
                <w:color w:val="000000"/>
                <w:sz w:val="22"/>
                <w:szCs w:val="22"/>
              </w:rPr>
            </w:pPr>
            <w:r>
              <w:rPr>
                <w:rFonts w:asciiTheme="minorHAnsi" w:hAnsiTheme="minorHAnsi"/>
                <w:b/>
                <w:bCs/>
                <w:color w:val="FFFFFF" w:themeColor="background1"/>
                <w:sz w:val="22"/>
                <w:szCs w:val="22"/>
              </w:rPr>
              <w:t>£</w:t>
            </w:r>
            <w:r w:rsidR="00842D9D">
              <w:rPr>
                <w:rFonts w:asciiTheme="minorHAnsi" w:hAnsiTheme="minorHAnsi"/>
                <w:b/>
                <w:bCs/>
                <w:color w:val="FFFFFF" w:themeColor="background1"/>
                <w:sz w:val="22"/>
                <w:szCs w:val="22"/>
              </w:rPr>
              <w:t>1</w:t>
            </w:r>
            <w:r>
              <w:rPr>
                <w:rFonts w:asciiTheme="minorHAnsi" w:hAnsiTheme="minorHAnsi"/>
                <w:b/>
                <w:bCs/>
                <w:color w:val="FFFFFF" w:themeColor="background1"/>
                <w:sz w:val="22"/>
                <w:szCs w:val="22"/>
              </w:rPr>
              <w:t>.</w:t>
            </w:r>
            <w:r w:rsidR="00842D9D">
              <w:rPr>
                <w:rFonts w:asciiTheme="minorHAnsi" w:hAnsiTheme="minorHAnsi"/>
                <w:b/>
                <w:bCs/>
                <w:color w:val="FFFFFF" w:themeColor="background1"/>
                <w:sz w:val="22"/>
                <w:szCs w:val="22"/>
              </w:rPr>
              <w:t>2</w:t>
            </w:r>
            <w:r>
              <w:rPr>
                <w:rFonts w:asciiTheme="minorHAnsi" w:hAnsiTheme="minorHAnsi"/>
                <w:b/>
                <w:bCs/>
                <w:color w:val="FFFFFF" w:themeColor="background1"/>
                <w:sz w:val="22"/>
                <w:szCs w:val="22"/>
              </w:rPr>
              <w:t>50m</w:t>
            </w:r>
          </w:p>
        </w:tc>
      </w:tr>
      <w:tr w:rsidR="00D27651" w:rsidTr="000C49CF">
        <w:trPr>
          <w:trHeight w:val="263"/>
          <w:jc w:val="center"/>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2A55FE" w:rsidRPr="00764A07" w:rsidRDefault="002A55FE" w:rsidP="00AD38C8">
            <w:pPr>
              <w:jc w:val="both"/>
              <w:rPr>
                <w:rFonts w:ascii="Calibri" w:hAnsi="Calibri"/>
                <w:color w:val="000000"/>
                <w:sz w:val="22"/>
                <w:szCs w:val="22"/>
              </w:rPr>
            </w:pPr>
            <w:r w:rsidRPr="00764A07">
              <w:rPr>
                <w:rFonts w:ascii="Calibri" w:hAnsi="Calibri"/>
                <w:color w:val="000000"/>
                <w:sz w:val="22"/>
                <w:szCs w:val="22"/>
              </w:rPr>
              <w:t>3</w:t>
            </w:r>
          </w:p>
        </w:tc>
        <w:tc>
          <w:tcPr>
            <w:tcW w:w="1749" w:type="dxa"/>
            <w:tcBorders>
              <w:top w:val="nil"/>
              <w:left w:val="nil"/>
              <w:bottom w:val="single" w:sz="4" w:space="0" w:color="auto"/>
              <w:right w:val="single" w:sz="4" w:space="0" w:color="auto"/>
            </w:tcBorders>
            <w:shd w:val="clear" w:color="auto" w:fill="auto"/>
            <w:vAlign w:val="center"/>
            <w:hideMark/>
          </w:tcPr>
          <w:p w:rsidR="002A55FE" w:rsidRPr="00764A07" w:rsidRDefault="002A55FE" w:rsidP="00AD38C8">
            <w:pPr>
              <w:jc w:val="both"/>
              <w:rPr>
                <w:rFonts w:ascii="Calibri" w:hAnsi="Calibri"/>
                <w:color w:val="000000"/>
                <w:sz w:val="22"/>
                <w:szCs w:val="22"/>
              </w:rPr>
            </w:pPr>
            <w:r w:rsidRPr="00764A07">
              <w:rPr>
                <w:rFonts w:ascii="Calibri" w:hAnsi="Calibri"/>
                <w:color w:val="000000"/>
                <w:sz w:val="22"/>
                <w:szCs w:val="22"/>
              </w:rPr>
              <w:t>QIPP</w:t>
            </w:r>
          </w:p>
        </w:tc>
        <w:tc>
          <w:tcPr>
            <w:tcW w:w="3480" w:type="dxa"/>
            <w:tcBorders>
              <w:top w:val="nil"/>
              <w:left w:val="nil"/>
              <w:bottom w:val="single" w:sz="4" w:space="0" w:color="auto"/>
              <w:right w:val="single" w:sz="4" w:space="0" w:color="auto"/>
            </w:tcBorders>
            <w:shd w:val="clear" w:color="auto" w:fill="auto"/>
            <w:noWrap/>
            <w:vAlign w:val="center"/>
            <w:hideMark/>
          </w:tcPr>
          <w:p w:rsidR="002A55FE" w:rsidRPr="003E7A0E" w:rsidRDefault="009471DD" w:rsidP="002815F2">
            <w:pPr>
              <w:jc w:val="both"/>
              <w:rPr>
                <w:rFonts w:ascii="Calibri" w:hAnsi="Calibri"/>
                <w:color w:val="000000"/>
                <w:sz w:val="22"/>
                <w:szCs w:val="22"/>
              </w:rPr>
            </w:pPr>
            <w:r>
              <w:rPr>
                <w:rFonts w:ascii="Calibri" w:hAnsi="Calibri"/>
                <w:color w:val="000000"/>
                <w:sz w:val="22"/>
                <w:szCs w:val="22"/>
              </w:rPr>
              <w:t>QIPP Plan</w:t>
            </w:r>
            <w:r w:rsidR="002A55FE" w:rsidRPr="003E7A0E">
              <w:rPr>
                <w:rFonts w:ascii="Calibri" w:hAnsi="Calibri"/>
                <w:color w:val="000000"/>
                <w:sz w:val="22"/>
                <w:szCs w:val="22"/>
              </w:rPr>
              <w:t xml:space="preserve"> delivered</w:t>
            </w:r>
            <w:r w:rsidR="003F4A6E">
              <w:rPr>
                <w:rFonts w:ascii="Calibri" w:hAnsi="Calibri"/>
                <w:color w:val="000000"/>
                <w:sz w:val="22"/>
                <w:szCs w:val="22"/>
              </w:rPr>
              <w:t xml:space="preserve"> – </w:t>
            </w:r>
            <w:r w:rsidR="003F4A6E" w:rsidRPr="003F4A6E">
              <w:rPr>
                <w:rFonts w:ascii="Calibri" w:hAnsi="Calibri"/>
                <w:i/>
                <w:color w:val="000000"/>
                <w:sz w:val="22"/>
                <w:szCs w:val="22"/>
              </w:rPr>
              <w:t>(Red if shortfall against planned delivery)</w:t>
            </w:r>
          </w:p>
        </w:tc>
        <w:tc>
          <w:tcPr>
            <w:tcW w:w="1170" w:type="dxa"/>
            <w:tcBorders>
              <w:top w:val="single" w:sz="4" w:space="0" w:color="auto"/>
              <w:left w:val="nil"/>
              <w:bottom w:val="single" w:sz="4" w:space="0" w:color="auto"/>
              <w:right w:val="single" w:sz="4" w:space="0" w:color="auto"/>
            </w:tcBorders>
            <w:shd w:val="clear" w:color="auto" w:fill="FF0000"/>
            <w:noWrap/>
            <w:vAlign w:val="center"/>
          </w:tcPr>
          <w:p w:rsidR="002A55FE" w:rsidRPr="00C63335" w:rsidRDefault="002A55FE" w:rsidP="00764A07">
            <w:pPr>
              <w:jc w:val="center"/>
              <w:rPr>
                <w:rFonts w:asciiTheme="minorHAnsi" w:hAnsiTheme="minorHAnsi"/>
                <w:b/>
                <w:bCs/>
                <w:color w:val="FFFFFF" w:themeColor="background1"/>
                <w:sz w:val="22"/>
                <w:szCs w:val="22"/>
              </w:rPr>
            </w:pPr>
            <w:r w:rsidRPr="00D51EF4">
              <w:rPr>
                <w:rFonts w:asciiTheme="minorHAnsi" w:hAnsiTheme="minorHAnsi"/>
                <w:b/>
                <w:bCs/>
                <w:color w:val="FFFFFF" w:themeColor="background1"/>
                <w:sz w:val="22"/>
                <w:szCs w:val="22"/>
              </w:rPr>
              <w:t>£</w:t>
            </w:r>
            <w:r w:rsidR="00607167">
              <w:rPr>
                <w:rFonts w:asciiTheme="minorHAnsi" w:hAnsiTheme="minorHAnsi"/>
                <w:b/>
                <w:bCs/>
                <w:color w:val="FFFFFF" w:themeColor="background1"/>
                <w:sz w:val="22"/>
                <w:szCs w:val="22"/>
              </w:rPr>
              <w:t>5.020</w:t>
            </w:r>
            <w:r w:rsidRPr="00D51EF4">
              <w:rPr>
                <w:rFonts w:asciiTheme="minorHAnsi" w:hAnsiTheme="minorHAnsi"/>
                <w:b/>
                <w:bCs/>
                <w:color w:val="FFFFFF" w:themeColor="background1"/>
                <w:sz w:val="22"/>
                <w:szCs w:val="22"/>
              </w:rPr>
              <w:t>m</w:t>
            </w:r>
          </w:p>
        </w:tc>
        <w:tc>
          <w:tcPr>
            <w:tcW w:w="1103" w:type="dxa"/>
            <w:tcBorders>
              <w:top w:val="single" w:sz="4" w:space="0" w:color="auto"/>
              <w:left w:val="nil"/>
              <w:bottom w:val="single" w:sz="4" w:space="0" w:color="auto"/>
              <w:right w:val="single" w:sz="4" w:space="0" w:color="auto"/>
            </w:tcBorders>
            <w:shd w:val="clear" w:color="auto" w:fill="FF0000"/>
            <w:noWrap/>
            <w:vAlign w:val="center"/>
          </w:tcPr>
          <w:p w:rsidR="002A55FE" w:rsidRPr="00A815DB" w:rsidRDefault="003E7A0E" w:rsidP="00842D9D">
            <w:pPr>
              <w:jc w:val="center"/>
              <w:rPr>
                <w:rFonts w:asciiTheme="minorHAnsi" w:hAnsiTheme="minorHAnsi"/>
                <w:b/>
                <w:bCs/>
                <w:color w:val="FFFFFF" w:themeColor="background1"/>
                <w:sz w:val="22"/>
                <w:szCs w:val="22"/>
              </w:rPr>
            </w:pPr>
            <w:r>
              <w:rPr>
                <w:rFonts w:asciiTheme="minorHAnsi" w:hAnsiTheme="minorHAnsi"/>
                <w:b/>
                <w:bCs/>
                <w:color w:val="FFFFFF" w:themeColor="background1"/>
                <w:sz w:val="22"/>
                <w:szCs w:val="22"/>
              </w:rPr>
              <w:t>£</w:t>
            </w:r>
            <w:r w:rsidR="00764A07">
              <w:rPr>
                <w:rFonts w:asciiTheme="minorHAnsi" w:hAnsiTheme="minorHAnsi"/>
                <w:b/>
                <w:bCs/>
                <w:color w:val="FFFFFF" w:themeColor="background1"/>
                <w:sz w:val="22"/>
                <w:szCs w:val="22"/>
              </w:rPr>
              <w:t>4.462</w:t>
            </w:r>
            <w:r w:rsidR="002A55FE">
              <w:rPr>
                <w:rFonts w:asciiTheme="minorHAnsi" w:hAnsiTheme="minorHAnsi"/>
                <w:b/>
                <w:bCs/>
                <w:color w:val="FFFFFF" w:themeColor="background1"/>
                <w:sz w:val="22"/>
                <w:szCs w:val="22"/>
              </w:rPr>
              <w:t>m</w:t>
            </w:r>
          </w:p>
        </w:tc>
      </w:tr>
      <w:tr w:rsidR="00D27651" w:rsidTr="000C49CF">
        <w:trPr>
          <w:trHeight w:val="996"/>
          <w:jc w:val="center"/>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8C8" w:rsidRPr="003A7786" w:rsidRDefault="00AD38C8" w:rsidP="00AD38C8">
            <w:pPr>
              <w:jc w:val="both"/>
              <w:rPr>
                <w:rFonts w:ascii="Calibri" w:hAnsi="Calibri"/>
                <w:color w:val="000000"/>
                <w:sz w:val="22"/>
                <w:szCs w:val="22"/>
              </w:rPr>
            </w:pPr>
            <w:r>
              <w:rPr>
                <w:rFonts w:ascii="Calibri" w:hAnsi="Calibri"/>
                <w:color w:val="000000"/>
                <w:sz w:val="22"/>
                <w:szCs w:val="22"/>
              </w:rPr>
              <w:t>4</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AD38C8" w:rsidRDefault="00AD38C8" w:rsidP="00AD38C8">
            <w:pPr>
              <w:jc w:val="both"/>
              <w:rPr>
                <w:rFonts w:ascii="Calibri" w:hAnsi="Calibri"/>
                <w:color w:val="000000"/>
                <w:sz w:val="22"/>
                <w:szCs w:val="22"/>
              </w:rPr>
            </w:pPr>
            <w:r>
              <w:rPr>
                <w:rFonts w:ascii="Calibri" w:hAnsi="Calibri"/>
                <w:color w:val="000000"/>
                <w:sz w:val="22"/>
                <w:szCs w:val="22"/>
              </w:rPr>
              <w:t>Running Costs (Forecast Outturn)</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AD38C8" w:rsidRDefault="00AD38C8" w:rsidP="00AD38C8">
            <w:pPr>
              <w:jc w:val="both"/>
              <w:rPr>
                <w:rFonts w:ascii="Calibri" w:hAnsi="Calibri"/>
                <w:color w:val="000000"/>
                <w:sz w:val="22"/>
                <w:szCs w:val="22"/>
              </w:rPr>
            </w:pPr>
            <w:r>
              <w:rPr>
                <w:rFonts w:ascii="Calibri" w:hAnsi="Calibri"/>
                <w:color w:val="000000"/>
                <w:sz w:val="22"/>
                <w:szCs w:val="22"/>
              </w:rPr>
              <w:t>CCG running costs &lt; CCG allocation 2016/17</w:t>
            </w:r>
          </w:p>
        </w:tc>
        <w:tc>
          <w:tcPr>
            <w:tcW w:w="1170" w:type="dxa"/>
            <w:tcBorders>
              <w:top w:val="nil"/>
              <w:left w:val="nil"/>
              <w:bottom w:val="single" w:sz="4" w:space="0" w:color="auto"/>
              <w:right w:val="single" w:sz="4" w:space="0" w:color="auto"/>
            </w:tcBorders>
            <w:shd w:val="clear" w:color="000000" w:fill="00B050"/>
            <w:noWrap/>
            <w:vAlign w:val="center"/>
            <w:hideMark/>
          </w:tcPr>
          <w:p w:rsidR="00AD38C8" w:rsidRPr="00A815DB" w:rsidRDefault="00AD38C8" w:rsidP="00AD38C8">
            <w:pPr>
              <w:jc w:val="center"/>
              <w:rPr>
                <w:rFonts w:asciiTheme="minorHAnsi" w:hAnsiTheme="minorHAnsi"/>
                <w:b/>
                <w:bCs/>
                <w:color w:val="FFFFFF"/>
                <w:sz w:val="22"/>
                <w:szCs w:val="22"/>
              </w:rPr>
            </w:pPr>
            <w:r w:rsidRPr="009E5968">
              <w:rPr>
                <w:rFonts w:asciiTheme="minorHAnsi" w:hAnsiTheme="minorHAnsi"/>
                <w:b/>
                <w:bCs/>
                <w:color w:val="FFFFFF"/>
                <w:sz w:val="22"/>
                <w:szCs w:val="22"/>
              </w:rPr>
              <w:sym w:font="Wingdings 2" w:char="F050"/>
            </w:r>
          </w:p>
        </w:tc>
        <w:tc>
          <w:tcPr>
            <w:tcW w:w="1103" w:type="dxa"/>
            <w:tcBorders>
              <w:top w:val="nil"/>
              <w:left w:val="nil"/>
              <w:bottom w:val="single" w:sz="4" w:space="0" w:color="auto"/>
              <w:right w:val="single" w:sz="4" w:space="0" w:color="auto"/>
            </w:tcBorders>
            <w:shd w:val="clear" w:color="000000" w:fill="00B050"/>
            <w:noWrap/>
            <w:vAlign w:val="center"/>
          </w:tcPr>
          <w:p w:rsidR="00AD38C8" w:rsidRPr="00A815DB" w:rsidRDefault="00AD38C8" w:rsidP="00AD38C8">
            <w:pPr>
              <w:jc w:val="center"/>
              <w:rPr>
                <w:rFonts w:asciiTheme="minorHAnsi" w:hAnsiTheme="minorHAnsi"/>
                <w:b/>
                <w:bCs/>
                <w:color w:val="FFFFFF"/>
                <w:sz w:val="22"/>
                <w:szCs w:val="22"/>
              </w:rPr>
            </w:pPr>
            <w:r w:rsidRPr="009E5968">
              <w:rPr>
                <w:rFonts w:asciiTheme="minorHAnsi" w:hAnsiTheme="minorHAnsi"/>
                <w:b/>
                <w:bCs/>
                <w:color w:val="FFFFFF"/>
                <w:sz w:val="22"/>
                <w:szCs w:val="22"/>
              </w:rPr>
              <w:sym w:font="Wingdings 2" w:char="F050"/>
            </w:r>
          </w:p>
        </w:tc>
      </w:tr>
      <w:tr w:rsidR="00D27651" w:rsidRPr="00C03FB0" w:rsidTr="000C49CF">
        <w:trPr>
          <w:trHeight w:val="330"/>
          <w:jc w:val="center"/>
        </w:trPr>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8C8" w:rsidRPr="003A7786" w:rsidRDefault="00AD38C8" w:rsidP="00AD38C8">
            <w:pPr>
              <w:jc w:val="both"/>
              <w:rPr>
                <w:rFonts w:ascii="Calibri" w:hAnsi="Calibri"/>
                <w:color w:val="000000"/>
                <w:sz w:val="22"/>
                <w:szCs w:val="22"/>
              </w:rPr>
            </w:pPr>
            <w:r w:rsidRPr="003A7786">
              <w:rPr>
                <w:rFonts w:ascii="Calibri" w:hAnsi="Calibri"/>
                <w:color w:val="000000"/>
                <w:sz w:val="22"/>
                <w:szCs w:val="22"/>
              </w:rPr>
              <w:t> </w:t>
            </w:r>
            <w:r>
              <w:rPr>
                <w:rFonts w:ascii="Calibri" w:hAnsi="Calibri"/>
                <w:color w:val="000000"/>
                <w:sz w:val="22"/>
                <w:szCs w:val="22"/>
              </w:rPr>
              <w:t>5</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8C8" w:rsidRPr="001A3CD9" w:rsidRDefault="00AD38C8" w:rsidP="00AD38C8">
            <w:pPr>
              <w:jc w:val="both"/>
              <w:rPr>
                <w:rFonts w:ascii="Calibri" w:hAnsi="Calibri"/>
                <w:color w:val="000000"/>
                <w:sz w:val="22"/>
                <w:szCs w:val="22"/>
              </w:rPr>
            </w:pPr>
            <w:r w:rsidRPr="001A3CD9">
              <w:rPr>
                <w:rFonts w:ascii="Calibri" w:hAnsi="Calibri"/>
                <w:color w:val="000000"/>
                <w:sz w:val="22"/>
                <w:szCs w:val="22"/>
              </w:rPr>
              <w:t>BPPC</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AD38C8" w:rsidRPr="001A3CD9" w:rsidRDefault="00AD38C8" w:rsidP="00AD38C8">
            <w:pPr>
              <w:jc w:val="both"/>
              <w:rPr>
                <w:rFonts w:ascii="Calibri" w:hAnsi="Calibri"/>
                <w:color w:val="000000"/>
                <w:sz w:val="22"/>
                <w:szCs w:val="22"/>
              </w:rPr>
            </w:pPr>
            <w:r w:rsidRPr="001A3CD9">
              <w:rPr>
                <w:rFonts w:ascii="Calibri" w:hAnsi="Calibri"/>
                <w:color w:val="000000"/>
                <w:sz w:val="22"/>
                <w:szCs w:val="22"/>
              </w:rPr>
              <w:t>NHS  - Value YTD &gt; 95%</w:t>
            </w:r>
          </w:p>
        </w:tc>
        <w:tc>
          <w:tcPr>
            <w:tcW w:w="1170" w:type="dxa"/>
            <w:tcBorders>
              <w:top w:val="nil"/>
              <w:left w:val="nil"/>
              <w:bottom w:val="single" w:sz="4" w:space="0" w:color="auto"/>
              <w:right w:val="single" w:sz="4" w:space="0" w:color="auto"/>
            </w:tcBorders>
            <w:shd w:val="clear" w:color="000000" w:fill="00B050"/>
            <w:noWrap/>
            <w:vAlign w:val="center"/>
          </w:tcPr>
          <w:p w:rsidR="00AD38C8" w:rsidRPr="00840149" w:rsidRDefault="00453A89" w:rsidP="00AD38C8">
            <w:pPr>
              <w:jc w:val="center"/>
              <w:rPr>
                <w:rFonts w:asciiTheme="minorHAnsi" w:hAnsiTheme="minorHAnsi"/>
                <w:b/>
                <w:bCs/>
                <w:color w:val="FFFFFF"/>
                <w:sz w:val="22"/>
                <w:szCs w:val="22"/>
              </w:rPr>
            </w:pPr>
            <w:r>
              <w:rPr>
                <w:rFonts w:asciiTheme="minorHAnsi" w:hAnsiTheme="minorHAnsi"/>
                <w:b/>
                <w:bCs/>
                <w:color w:val="FFFFFF"/>
                <w:sz w:val="22"/>
                <w:szCs w:val="22"/>
              </w:rPr>
              <w:t>99.97</w:t>
            </w:r>
            <w:r w:rsidR="00AD38C8" w:rsidRPr="00840149">
              <w:rPr>
                <w:rFonts w:asciiTheme="minorHAnsi" w:hAnsiTheme="minorHAnsi"/>
                <w:b/>
                <w:bCs/>
                <w:color w:val="FFFFFF"/>
                <w:sz w:val="22"/>
                <w:szCs w:val="22"/>
              </w:rPr>
              <w:t>%</w:t>
            </w:r>
          </w:p>
        </w:tc>
        <w:tc>
          <w:tcPr>
            <w:tcW w:w="1103" w:type="dxa"/>
            <w:tcBorders>
              <w:top w:val="nil"/>
              <w:left w:val="nil"/>
              <w:bottom w:val="single" w:sz="4" w:space="0" w:color="auto"/>
              <w:right w:val="single" w:sz="4" w:space="0" w:color="auto"/>
            </w:tcBorders>
            <w:shd w:val="clear" w:color="000000" w:fill="00B050"/>
            <w:noWrap/>
            <w:vAlign w:val="center"/>
          </w:tcPr>
          <w:p w:rsidR="00AD38C8" w:rsidRPr="00840149" w:rsidRDefault="00883CAD" w:rsidP="00883CAD">
            <w:pPr>
              <w:jc w:val="center"/>
              <w:rPr>
                <w:rFonts w:asciiTheme="minorHAnsi" w:hAnsiTheme="minorHAnsi"/>
                <w:b/>
                <w:bCs/>
                <w:color w:val="FFFFFF"/>
                <w:sz w:val="22"/>
                <w:szCs w:val="22"/>
              </w:rPr>
            </w:pPr>
            <w:r>
              <w:rPr>
                <w:rFonts w:asciiTheme="minorHAnsi" w:hAnsiTheme="minorHAnsi"/>
                <w:b/>
                <w:bCs/>
                <w:color w:val="FFFFFF"/>
                <w:sz w:val="22"/>
                <w:szCs w:val="22"/>
              </w:rPr>
              <w:t>100</w:t>
            </w:r>
            <w:r w:rsidR="00AD38C8">
              <w:rPr>
                <w:rFonts w:asciiTheme="minorHAnsi" w:hAnsiTheme="minorHAnsi"/>
                <w:b/>
                <w:bCs/>
                <w:color w:val="FFFFFF"/>
                <w:sz w:val="22"/>
                <w:szCs w:val="22"/>
              </w:rPr>
              <w:t>.</w:t>
            </w:r>
            <w:r>
              <w:rPr>
                <w:rFonts w:asciiTheme="minorHAnsi" w:hAnsiTheme="minorHAnsi"/>
                <w:b/>
                <w:bCs/>
                <w:color w:val="FFFFFF"/>
                <w:sz w:val="22"/>
                <w:szCs w:val="22"/>
              </w:rPr>
              <w:t>00</w:t>
            </w:r>
            <w:r w:rsidR="00AD38C8" w:rsidRPr="00840149">
              <w:rPr>
                <w:rFonts w:asciiTheme="minorHAnsi" w:hAnsiTheme="minorHAnsi"/>
                <w:b/>
                <w:bCs/>
                <w:color w:val="FFFFFF"/>
                <w:sz w:val="22"/>
                <w:szCs w:val="22"/>
              </w:rPr>
              <w:t>%</w:t>
            </w:r>
          </w:p>
        </w:tc>
      </w:tr>
      <w:tr w:rsidR="00453A89" w:rsidRPr="00C03FB0" w:rsidTr="000C49CF">
        <w:trPr>
          <w:trHeight w:val="330"/>
          <w:jc w:val="center"/>
        </w:trPr>
        <w:tc>
          <w:tcPr>
            <w:tcW w:w="906" w:type="dxa"/>
            <w:vMerge/>
            <w:tcBorders>
              <w:top w:val="single" w:sz="4" w:space="0" w:color="auto"/>
              <w:left w:val="single" w:sz="4" w:space="0" w:color="auto"/>
              <w:bottom w:val="single" w:sz="4" w:space="0" w:color="auto"/>
              <w:right w:val="single" w:sz="4" w:space="0" w:color="auto"/>
            </w:tcBorders>
            <w:vAlign w:val="center"/>
            <w:hideMark/>
          </w:tcPr>
          <w:p w:rsidR="00453A89" w:rsidRDefault="00453A89" w:rsidP="00AD38C8">
            <w:pPr>
              <w:jc w:val="both"/>
              <w:rPr>
                <w:rFonts w:ascii="Calibri" w:hAnsi="Calibri"/>
                <w:color w:val="000000"/>
                <w:sz w:val="22"/>
                <w:szCs w:val="22"/>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453A89" w:rsidRPr="001A3CD9" w:rsidRDefault="00453A89" w:rsidP="00AD38C8">
            <w:pPr>
              <w:jc w:val="both"/>
              <w:rPr>
                <w:rFonts w:ascii="Calibri" w:hAnsi="Calibri"/>
                <w:color w:val="000000"/>
                <w:sz w:val="22"/>
                <w:szCs w:val="22"/>
              </w:rPr>
            </w:pPr>
          </w:p>
        </w:tc>
        <w:tc>
          <w:tcPr>
            <w:tcW w:w="3480" w:type="dxa"/>
            <w:tcBorders>
              <w:top w:val="nil"/>
              <w:left w:val="nil"/>
              <w:bottom w:val="single" w:sz="4" w:space="0" w:color="auto"/>
              <w:right w:val="single" w:sz="4" w:space="0" w:color="auto"/>
            </w:tcBorders>
            <w:shd w:val="clear" w:color="auto" w:fill="auto"/>
            <w:vAlign w:val="center"/>
            <w:hideMark/>
          </w:tcPr>
          <w:p w:rsidR="00453A89" w:rsidRPr="001A3CD9" w:rsidRDefault="00453A89" w:rsidP="00AD38C8">
            <w:pPr>
              <w:jc w:val="both"/>
              <w:rPr>
                <w:rFonts w:ascii="Calibri" w:hAnsi="Calibri"/>
                <w:color w:val="000000"/>
                <w:sz w:val="22"/>
                <w:szCs w:val="22"/>
              </w:rPr>
            </w:pPr>
            <w:r w:rsidRPr="001A3CD9">
              <w:rPr>
                <w:rFonts w:ascii="Calibri" w:hAnsi="Calibri"/>
                <w:color w:val="000000"/>
                <w:sz w:val="22"/>
                <w:szCs w:val="22"/>
              </w:rPr>
              <w:t>NHS - Volume YTD &gt; 95%</w:t>
            </w:r>
          </w:p>
        </w:tc>
        <w:tc>
          <w:tcPr>
            <w:tcW w:w="1170" w:type="dxa"/>
            <w:tcBorders>
              <w:top w:val="single" w:sz="4" w:space="0" w:color="auto"/>
              <w:left w:val="nil"/>
              <w:bottom w:val="single" w:sz="4" w:space="0" w:color="auto"/>
              <w:right w:val="single" w:sz="4" w:space="0" w:color="auto"/>
            </w:tcBorders>
            <w:shd w:val="clear" w:color="auto" w:fill="FF0000"/>
            <w:noWrap/>
            <w:vAlign w:val="center"/>
          </w:tcPr>
          <w:p w:rsidR="00453A89" w:rsidRPr="00840149" w:rsidRDefault="00453A89" w:rsidP="003E4208">
            <w:pPr>
              <w:jc w:val="center"/>
              <w:rPr>
                <w:rFonts w:asciiTheme="minorHAnsi" w:hAnsiTheme="minorHAnsi"/>
                <w:b/>
                <w:bCs/>
                <w:color w:val="FFFFFF" w:themeColor="background1"/>
                <w:sz w:val="22"/>
                <w:szCs w:val="22"/>
              </w:rPr>
            </w:pPr>
            <w:r>
              <w:rPr>
                <w:rFonts w:asciiTheme="minorHAnsi" w:hAnsiTheme="minorHAnsi"/>
                <w:b/>
                <w:bCs/>
                <w:color w:val="FFFFFF" w:themeColor="background1"/>
                <w:sz w:val="22"/>
                <w:szCs w:val="22"/>
              </w:rPr>
              <w:t>93.3</w:t>
            </w:r>
            <w:r w:rsidRPr="00840149">
              <w:rPr>
                <w:rFonts w:asciiTheme="minorHAnsi" w:hAnsiTheme="minorHAnsi"/>
                <w:b/>
                <w:bCs/>
                <w:color w:val="FFFFFF" w:themeColor="background1"/>
                <w:sz w:val="22"/>
                <w:szCs w:val="22"/>
              </w:rPr>
              <w:t>%</w:t>
            </w:r>
          </w:p>
        </w:tc>
        <w:tc>
          <w:tcPr>
            <w:tcW w:w="1103" w:type="dxa"/>
            <w:tcBorders>
              <w:top w:val="single" w:sz="4" w:space="0" w:color="auto"/>
              <w:left w:val="nil"/>
              <w:bottom w:val="single" w:sz="4" w:space="0" w:color="auto"/>
              <w:right w:val="single" w:sz="4" w:space="0" w:color="auto"/>
            </w:tcBorders>
            <w:shd w:val="clear" w:color="auto" w:fill="FF0000"/>
            <w:noWrap/>
            <w:vAlign w:val="center"/>
          </w:tcPr>
          <w:p w:rsidR="00453A89" w:rsidRPr="00840149" w:rsidRDefault="00453A89" w:rsidP="00A0227D">
            <w:pPr>
              <w:jc w:val="center"/>
              <w:rPr>
                <w:rFonts w:asciiTheme="minorHAnsi" w:hAnsiTheme="minorHAnsi"/>
                <w:b/>
                <w:bCs/>
                <w:color w:val="FFFFFF" w:themeColor="background1"/>
                <w:sz w:val="22"/>
                <w:szCs w:val="22"/>
              </w:rPr>
            </w:pPr>
            <w:r>
              <w:rPr>
                <w:rFonts w:asciiTheme="minorHAnsi" w:hAnsiTheme="minorHAnsi"/>
                <w:b/>
                <w:bCs/>
                <w:color w:val="FFFFFF" w:themeColor="background1"/>
                <w:sz w:val="22"/>
                <w:szCs w:val="22"/>
              </w:rPr>
              <w:t>93.34</w:t>
            </w:r>
            <w:r w:rsidRPr="00840149">
              <w:rPr>
                <w:rFonts w:asciiTheme="minorHAnsi" w:hAnsiTheme="minorHAnsi"/>
                <w:b/>
                <w:bCs/>
                <w:color w:val="FFFFFF" w:themeColor="background1"/>
                <w:sz w:val="22"/>
                <w:szCs w:val="22"/>
              </w:rPr>
              <w:t>%</w:t>
            </w:r>
          </w:p>
        </w:tc>
      </w:tr>
      <w:tr w:rsidR="00453A89" w:rsidRPr="00C03FB0" w:rsidTr="000C49CF">
        <w:trPr>
          <w:trHeight w:val="330"/>
          <w:jc w:val="center"/>
        </w:trPr>
        <w:tc>
          <w:tcPr>
            <w:tcW w:w="906" w:type="dxa"/>
            <w:vMerge/>
            <w:tcBorders>
              <w:top w:val="single" w:sz="4" w:space="0" w:color="auto"/>
              <w:left w:val="single" w:sz="4" w:space="0" w:color="auto"/>
              <w:bottom w:val="single" w:sz="4" w:space="0" w:color="auto"/>
              <w:right w:val="single" w:sz="4" w:space="0" w:color="auto"/>
            </w:tcBorders>
            <w:vAlign w:val="center"/>
            <w:hideMark/>
          </w:tcPr>
          <w:p w:rsidR="00453A89" w:rsidRDefault="00453A89" w:rsidP="00AD38C8">
            <w:pPr>
              <w:jc w:val="both"/>
              <w:rPr>
                <w:rFonts w:ascii="Calibri" w:hAnsi="Calibri"/>
                <w:color w:val="000000"/>
                <w:sz w:val="22"/>
                <w:szCs w:val="22"/>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453A89" w:rsidRPr="001A3CD9" w:rsidRDefault="00453A89" w:rsidP="00AD38C8">
            <w:pPr>
              <w:jc w:val="both"/>
              <w:rPr>
                <w:rFonts w:ascii="Calibri" w:hAnsi="Calibri"/>
                <w:color w:val="000000"/>
                <w:sz w:val="22"/>
                <w:szCs w:val="22"/>
              </w:rPr>
            </w:pPr>
          </w:p>
        </w:tc>
        <w:tc>
          <w:tcPr>
            <w:tcW w:w="3480" w:type="dxa"/>
            <w:tcBorders>
              <w:top w:val="nil"/>
              <w:left w:val="nil"/>
              <w:bottom w:val="single" w:sz="4" w:space="0" w:color="auto"/>
              <w:right w:val="single" w:sz="4" w:space="0" w:color="auto"/>
            </w:tcBorders>
            <w:shd w:val="clear" w:color="auto" w:fill="auto"/>
            <w:vAlign w:val="center"/>
            <w:hideMark/>
          </w:tcPr>
          <w:p w:rsidR="00453A89" w:rsidRPr="001A3CD9" w:rsidRDefault="00453A89" w:rsidP="00AD38C8">
            <w:pPr>
              <w:jc w:val="both"/>
              <w:rPr>
                <w:rFonts w:ascii="Calibri" w:hAnsi="Calibri"/>
                <w:color w:val="000000"/>
                <w:sz w:val="22"/>
                <w:szCs w:val="22"/>
              </w:rPr>
            </w:pPr>
            <w:r w:rsidRPr="001A3CD9">
              <w:rPr>
                <w:rFonts w:ascii="Calibri" w:hAnsi="Calibri"/>
                <w:color w:val="000000"/>
                <w:sz w:val="22"/>
                <w:szCs w:val="22"/>
              </w:rPr>
              <w:t>Non NHS  - Value YTD &gt; 95%</w:t>
            </w:r>
          </w:p>
        </w:tc>
        <w:tc>
          <w:tcPr>
            <w:tcW w:w="1170" w:type="dxa"/>
            <w:tcBorders>
              <w:top w:val="nil"/>
              <w:left w:val="nil"/>
              <w:bottom w:val="single" w:sz="4" w:space="0" w:color="auto"/>
              <w:right w:val="single" w:sz="4" w:space="0" w:color="auto"/>
            </w:tcBorders>
            <w:shd w:val="clear" w:color="000000" w:fill="FF0000"/>
            <w:noWrap/>
            <w:vAlign w:val="center"/>
          </w:tcPr>
          <w:p w:rsidR="00453A89" w:rsidRPr="00840149" w:rsidRDefault="00453A89" w:rsidP="00842D9D">
            <w:pPr>
              <w:jc w:val="center"/>
              <w:rPr>
                <w:rFonts w:asciiTheme="minorHAnsi" w:hAnsiTheme="minorHAnsi"/>
                <w:b/>
                <w:bCs/>
                <w:color w:val="FFFFFF" w:themeColor="background1"/>
                <w:sz w:val="22"/>
                <w:szCs w:val="22"/>
              </w:rPr>
            </w:pPr>
            <w:r>
              <w:rPr>
                <w:rFonts w:asciiTheme="minorHAnsi" w:hAnsiTheme="minorHAnsi"/>
                <w:b/>
                <w:bCs/>
                <w:color w:val="FFFFFF" w:themeColor="background1"/>
                <w:sz w:val="22"/>
                <w:szCs w:val="22"/>
              </w:rPr>
              <w:t>87.60</w:t>
            </w:r>
            <w:r w:rsidRPr="00840149">
              <w:rPr>
                <w:rFonts w:asciiTheme="minorHAnsi" w:hAnsiTheme="minorHAnsi"/>
                <w:b/>
                <w:bCs/>
                <w:color w:val="FFFFFF" w:themeColor="background1"/>
                <w:sz w:val="22"/>
                <w:szCs w:val="22"/>
              </w:rPr>
              <w:t>%</w:t>
            </w:r>
          </w:p>
        </w:tc>
        <w:tc>
          <w:tcPr>
            <w:tcW w:w="1103" w:type="dxa"/>
            <w:tcBorders>
              <w:top w:val="nil"/>
              <w:left w:val="nil"/>
              <w:bottom w:val="single" w:sz="4" w:space="0" w:color="auto"/>
              <w:right w:val="single" w:sz="4" w:space="0" w:color="auto"/>
            </w:tcBorders>
            <w:shd w:val="clear" w:color="000000" w:fill="FF0000"/>
            <w:noWrap/>
            <w:vAlign w:val="center"/>
          </w:tcPr>
          <w:p w:rsidR="00453A89" w:rsidRPr="00840149" w:rsidRDefault="00453A89" w:rsidP="00A0227D">
            <w:pPr>
              <w:jc w:val="center"/>
              <w:rPr>
                <w:rFonts w:asciiTheme="minorHAnsi" w:hAnsiTheme="minorHAnsi"/>
                <w:b/>
                <w:bCs/>
                <w:color w:val="FFFFFF" w:themeColor="background1"/>
                <w:sz w:val="22"/>
                <w:szCs w:val="22"/>
              </w:rPr>
            </w:pPr>
            <w:r>
              <w:rPr>
                <w:rFonts w:asciiTheme="minorHAnsi" w:hAnsiTheme="minorHAnsi"/>
                <w:b/>
                <w:bCs/>
                <w:color w:val="FFFFFF" w:themeColor="background1"/>
                <w:sz w:val="22"/>
                <w:szCs w:val="22"/>
              </w:rPr>
              <w:t>87.08</w:t>
            </w:r>
            <w:r w:rsidRPr="00840149">
              <w:rPr>
                <w:rFonts w:asciiTheme="minorHAnsi" w:hAnsiTheme="minorHAnsi"/>
                <w:b/>
                <w:bCs/>
                <w:color w:val="FFFFFF" w:themeColor="background1"/>
                <w:sz w:val="22"/>
                <w:szCs w:val="22"/>
              </w:rPr>
              <w:t>%</w:t>
            </w:r>
          </w:p>
        </w:tc>
      </w:tr>
      <w:tr w:rsidR="00453A89" w:rsidRPr="00C03FB0" w:rsidTr="000C49CF">
        <w:trPr>
          <w:trHeight w:val="101"/>
          <w:jc w:val="center"/>
        </w:trPr>
        <w:tc>
          <w:tcPr>
            <w:tcW w:w="906" w:type="dxa"/>
            <w:vMerge/>
            <w:tcBorders>
              <w:top w:val="single" w:sz="4" w:space="0" w:color="auto"/>
              <w:left w:val="single" w:sz="4" w:space="0" w:color="auto"/>
              <w:bottom w:val="single" w:sz="4" w:space="0" w:color="auto"/>
              <w:right w:val="single" w:sz="4" w:space="0" w:color="auto"/>
            </w:tcBorders>
            <w:vAlign w:val="center"/>
            <w:hideMark/>
          </w:tcPr>
          <w:p w:rsidR="00453A89" w:rsidRDefault="00453A89" w:rsidP="00AD38C8">
            <w:pPr>
              <w:jc w:val="both"/>
              <w:rPr>
                <w:rFonts w:ascii="Calibri" w:hAnsi="Calibri"/>
                <w:color w:val="000000"/>
                <w:sz w:val="22"/>
                <w:szCs w:val="22"/>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453A89" w:rsidRPr="001A3CD9" w:rsidRDefault="00453A89" w:rsidP="00AD38C8">
            <w:pPr>
              <w:jc w:val="both"/>
              <w:rPr>
                <w:rFonts w:ascii="Calibri" w:hAnsi="Calibri"/>
                <w:color w:val="000000"/>
                <w:sz w:val="22"/>
                <w:szCs w:val="22"/>
              </w:rPr>
            </w:pPr>
          </w:p>
        </w:tc>
        <w:tc>
          <w:tcPr>
            <w:tcW w:w="3480" w:type="dxa"/>
            <w:tcBorders>
              <w:top w:val="nil"/>
              <w:left w:val="nil"/>
              <w:bottom w:val="single" w:sz="4" w:space="0" w:color="auto"/>
              <w:right w:val="single" w:sz="4" w:space="0" w:color="auto"/>
            </w:tcBorders>
            <w:shd w:val="clear" w:color="auto" w:fill="auto"/>
            <w:vAlign w:val="center"/>
            <w:hideMark/>
          </w:tcPr>
          <w:p w:rsidR="00453A89" w:rsidRPr="001A3CD9" w:rsidRDefault="00453A89" w:rsidP="00AD38C8">
            <w:pPr>
              <w:jc w:val="both"/>
              <w:rPr>
                <w:rFonts w:ascii="Calibri" w:hAnsi="Calibri"/>
                <w:color w:val="000000"/>
                <w:sz w:val="22"/>
                <w:szCs w:val="22"/>
              </w:rPr>
            </w:pPr>
            <w:r w:rsidRPr="001A3CD9">
              <w:rPr>
                <w:rFonts w:ascii="Calibri" w:hAnsi="Calibri"/>
                <w:color w:val="000000"/>
                <w:sz w:val="22"/>
                <w:szCs w:val="22"/>
              </w:rPr>
              <w:t>Non NHS - Volume YTD &gt; 95%</w:t>
            </w:r>
          </w:p>
        </w:tc>
        <w:tc>
          <w:tcPr>
            <w:tcW w:w="1170" w:type="dxa"/>
            <w:tcBorders>
              <w:top w:val="nil"/>
              <w:left w:val="nil"/>
              <w:bottom w:val="single" w:sz="4" w:space="0" w:color="auto"/>
              <w:right w:val="single" w:sz="4" w:space="0" w:color="auto"/>
            </w:tcBorders>
            <w:shd w:val="clear" w:color="000000" w:fill="FF0000"/>
            <w:noWrap/>
            <w:vAlign w:val="center"/>
          </w:tcPr>
          <w:p w:rsidR="00453A89" w:rsidRPr="00840149" w:rsidRDefault="00453A89" w:rsidP="003E4208">
            <w:pPr>
              <w:jc w:val="center"/>
              <w:rPr>
                <w:rFonts w:asciiTheme="minorHAnsi" w:hAnsiTheme="minorHAnsi"/>
                <w:b/>
                <w:bCs/>
                <w:color w:val="FFFFFF" w:themeColor="background1"/>
                <w:sz w:val="22"/>
                <w:szCs w:val="22"/>
              </w:rPr>
            </w:pPr>
            <w:r>
              <w:rPr>
                <w:rFonts w:asciiTheme="minorHAnsi" w:hAnsiTheme="minorHAnsi"/>
                <w:b/>
                <w:bCs/>
                <w:color w:val="FFFFFF" w:themeColor="background1"/>
                <w:sz w:val="22"/>
                <w:szCs w:val="22"/>
              </w:rPr>
              <w:t>91</w:t>
            </w:r>
            <w:r w:rsidRPr="00840149">
              <w:rPr>
                <w:rFonts w:asciiTheme="minorHAnsi" w:hAnsiTheme="minorHAnsi"/>
                <w:b/>
                <w:bCs/>
                <w:color w:val="FFFFFF" w:themeColor="background1"/>
                <w:sz w:val="22"/>
                <w:szCs w:val="22"/>
              </w:rPr>
              <w:t>.</w:t>
            </w:r>
            <w:r>
              <w:rPr>
                <w:rFonts w:asciiTheme="minorHAnsi" w:hAnsiTheme="minorHAnsi"/>
                <w:b/>
                <w:bCs/>
                <w:color w:val="FFFFFF" w:themeColor="background1"/>
                <w:sz w:val="22"/>
                <w:szCs w:val="22"/>
              </w:rPr>
              <w:t>91</w:t>
            </w:r>
            <w:r w:rsidRPr="00840149">
              <w:rPr>
                <w:rFonts w:asciiTheme="minorHAnsi" w:hAnsiTheme="minorHAnsi"/>
                <w:b/>
                <w:bCs/>
                <w:color w:val="FFFFFF" w:themeColor="background1"/>
                <w:sz w:val="22"/>
                <w:szCs w:val="22"/>
              </w:rPr>
              <w:t>%</w:t>
            </w:r>
          </w:p>
        </w:tc>
        <w:tc>
          <w:tcPr>
            <w:tcW w:w="1103" w:type="dxa"/>
            <w:tcBorders>
              <w:top w:val="nil"/>
              <w:left w:val="nil"/>
              <w:bottom w:val="single" w:sz="4" w:space="0" w:color="auto"/>
              <w:right w:val="single" w:sz="4" w:space="0" w:color="auto"/>
            </w:tcBorders>
            <w:shd w:val="clear" w:color="000000" w:fill="FF0000"/>
            <w:noWrap/>
            <w:vAlign w:val="center"/>
          </w:tcPr>
          <w:p w:rsidR="00453A89" w:rsidRPr="00840149" w:rsidRDefault="00453A89" w:rsidP="00A0227D">
            <w:pPr>
              <w:jc w:val="center"/>
              <w:rPr>
                <w:rFonts w:asciiTheme="minorHAnsi" w:hAnsiTheme="minorHAnsi"/>
                <w:b/>
                <w:bCs/>
                <w:color w:val="FFFFFF" w:themeColor="background1"/>
                <w:sz w:val="22"/>
                <w:szCs w:val="22"/>
              </w:rPr>
            </w:pPr>
            <w:r>
              <w:rPr>
                <w:rFonts w:asciiTheme="minorHAnsi" w:hAnsiTheme="minorHAnsi"/>
                <w:b/>
                <w:bCs/>
                <w:color w:val="FFFFFF" w:themeColor="background1"/>
                <w:sz w:val="22"/>
                <w:szCs w:val="22"/>
              </w:rPr>
              <w:t>91</w:t>
            </w:r>
            <w:r w:rsidRPr="00840149">
              <w:rPr>
                <w:rFonts w:asciiTheme="minorHAnsi" w:hAnsiTheme="minorHAnsi"/>
                <w:b/>
                <w:bCs/>
                <w:color w:val="FFFFFF" w:themeColor="background1"/>
                <w:sz w:val="22"/>
                <w:szCs w:val="22"/>
              </w:rPr>
              <w:t>.</w:t>
            </w:r>
            <w:r>
              <w:rPr>
                <w:rFonts w:asciiTheme="minorHAnsi" w:hAnsiTheme="minorHAnsi"/>
                <w:b/>
                <w:bCs/>
                <w:color w:val="FFFFFF" w:themeColor="background1"/>
                <w:sz w:val="22"/>
                <w:szCs w:val="22"/>
              </w:rPr>
              <w:t>47</w:t>
            </w:r>
            <w:r w:rsidRPr="00840149">
              <w:rPr>
                <w:rFonts w:asciiTheme="minorHAnsi" w:hAnsiTheme="minorHAnsi"/>
                <w:b/>
                <w:bCs/>
                <w:color w:val="FFFFFF" w:themeColor="background1"/>
                <w:sz w:val="22"/>
                <w:szCs w:val="22"/>
              </w:rPr>
              <w:t>%</w:t>
            </w:r>
          </w:p>
        </w:tc>
      </w:tr>
    </w:tbl>
    <w:p w:rsidR="00BF6654" w:rsidRPr="00280BBD" w:rsidRDefault="000819F5" w:rsidP="00280BBD">
      <w:pPr>
        <w:numPr>
          <w:ilvl w:val="0"/>
          <w:numId w:val="1"/>
        </w:numPr>
        <w:shd w:val="clear" w:color="auto" w:fill="D9D9D9"/>
        <w:ind w:left="567" w:hanging="567"/>
        <w:jc w:val="both"/>
        <w:rPr>
          <w:rFonts w:ascii="Arial" w:hAnsi="Arial" w:cs="Arial"/>
          <w:b/>
          <w:sz w:val="22"/>
          <w:szCs w:val="22"/>
        </w:rPr>
      </w:pPr>
      <w:r w:rsidRPr="00280BBD">
        <w:rPr>
          <w:rFonts w:ascii="Arial" w:hAnsi="Arial" w:cs="Arial"/>
          <w:b/>
          <w:sz w:val="22"/>
          <w:szCs w:val="22"/>
        </w:rPr>
        <w:lastRenderedPageBreak/>
        <w:t>Resource Allocation</w:t>
      </w:r>
    </w:p>
    <w:p w:rsidR="00BF6654" w:rsidRDefault="00BF6654" w:rsidP="00AD38C8">
      <w:pPr>
        <w:ind w:left="567" w:hanging="567"/>
        <w:jc w:val="both"/>
        <w:rPr>
          <w:rFonts w:ascii="Arial" w:hAnsi="Arial" w:cs="Arial"/>
          <w:sz w:val="22"/>
          <w:szCs w:val="22"/>
        </w:rPr>
      </w:pPr>
    </w:p>
    <w:p w:rsidR="00842D9D" w:rsidRPr="00F118D4" w:rsidRDefault="00842D9D" w:rsidP="00842D9D">
      <w:pPr>
        <w:ind w:firstLine="720"/>
        <w:rPr>
          <w:rFonts w:ascii="Arial" w:hAnsi="Arial" w:cs="Arial"/>
          <w:sz w:val="22"/>
          <w:szCs w:val="22"/>
        </w:rPr>
      </w:pPr>
      <w:r w:rsidRPr="00F118D4">
        <w:rPr>
          <w:rFonts w:ascii="Arial" w:hAnsi="Arial" w:cs="Arial"/>
          <w:sz w:val="22"/>
          <w:szCs w:val="22"/>
        </w:rPr>
        <w:t>Additional allocatio</w:t>
      </w:r>
      <w:r w:rsidR="00862236">
        <w:rPr>
          <w:rFonts w:ascii="Arial" w:hAnsi="Arial" w:cs="Arial"/>
          <w:sz w:val="22"/>
          <w:szCs w:val="22"/>
        </w:rPr>
        <w:t xml:space="preserve">ns have been received in Month </w:t>
      </w:r>
      <w:r w:rsidR="00D27651">
        <w:rPr>
          <w:rFonts w:ascii="Arial" w:hAnsi="Arial" w:cs="Arial"/>
          <w:sz w:val="22"/>
          <w:szCs w:val="22"/>
        </w:rPr>
        <w:t>10</w:t>
      </w:r>
      <w:r w:rsidRPr="00F118D4">
        <w:rPr>
          <w:rFonts w:ascii="Arial" w:hAnsi="Arial" w:cs="Arial"/>
          <w:sz w:val="22"/>
          <w:szCs w:val="22"/>
        </w:rPr>
        <w:t xml:space="preserve"> as follows:</w:t>
      </w:r>
    </w:p>
    <w:p w:rsidR="00842D9D" w:rsidRPr="00F118D4" w:rsidRDefault="00842D9D" w:rsidP="00842D9D">
      <w:pPr>
        <w:ind w:firstLine="720"/>
        <w:rPr>
          <w:rFonts w:ascii="Arial" w:hAnsi="Arial" w:cs="Arial"/>
          <w:sz w:val="22"/>
          <w:szCs w:val="22"/>
        </w:rPr>
      </w:pPr>
    </w:p>
    <w:p w:rsidR="00842D9D" w:rsidRDefault="00D27651" w:rsidP="00842D9D">
      <w:pPr>
        <w:pStyle w:val="ListParagraph"/>
        <w:numPr>
          <w:ilvl w:val="0"/>
          <w:numId w:val="17"/>
        </w:numPr>
        <w:rPr>
          <w:rFonts w:ascii="Arial" w:hAnsi="Arial" w:cs="Arial"/>
          <w:sz w:val="22"/>
          <w:szCs w:val="22"/>
        </w:rPr>
      </w:pPr>
      <w:r>
        <w:rPr>
          <w:rFonts w:ascii="Arial" w:hAnsi="Arial" w:cs="Arial"/>
          <w:sz w:val="22"/>
          <w:szCs w:val="22"/>
        </w:rPr>
        <w:t>C</w:t>
      </w:r>
      <w:r w:rsidR="000C49CF">
        <w:rPr>
          <w:rFonts w:ascii="Arial" w:hAnsi="Arial" w:cs="Arial"/>
          <w:sz w:val="22"/>
          <w:szCs w:val="22"/>
        </w:rPr>
        <w:t xml:space="preserve">hildren and </w:t>
      </w:r>
      <w:r>
        <w:rPr>
          <w:rFonts w:ascii="Arial" w:hAnsi="Arial" w:cs="Arial"/>
          <w:sz w:val="22"/>
          <w:szCs w:val="22"/>
        </w:rPr>
        <w:t>Y</w:t>
      </w:r>
      <w:r w:rsidR="000C49CF">
        <w:rPr>
          <w:rFonts w:ascii="Arial" w:hAnsi="Arial" w:cs="Arial"/>
          <w:sz w:val="22"/>
          <w:szCs w:val="22"/>
        </w:rPr>
        <w:t xml:space="preserve">oung </w:t>
      </w:r>
      <w:r>
        <w:rPr>
          <w:rFonts w:ascii="Arial" w:hAnsi="Arial" w:cs="Arial"/>
          <w:sz w:val="22"/>
          <w:szCs w:val="22"/>
        </w:rPr>
        <w:t>P</w:t>
      </w:r>
      <w:r w:rsidR="000C49CF">
        <w:rPr>
          <w:rFonts w:ascii="Arial" w:hAnsi="Arial" w:cs="Arial"/>
          <w:sz w:val="22"/>
          <w:szCs w:val="22"/>
        </w:rPr>
        <w:t>eople</w:t>
      </w:r>
      <w:r>
        <w:rPr>
          <w:rFonts w:ascii="Arial" w:hAnsi="Arial" w:cs="Arial"/>
          <w:sz w:val="22"/>
          <w:szCs w:val="22"/>
        </w:rPr>
        <w:t xml:space="preserve"> W</w:t>
      </w:r>
      <w:r w:rsidR="000C49CF">
        <w:rPr>
          <w:rFonts w:ascii="Arial" w:hAnsi="Arial" w:cs="Arial"/>
          <w:sz w:val="22"/>
          <w:szCs w:val="22"/>
        </w:rPr>
        <w:t xml:space="preserve">aiting </w:t>
      </w:r>
      <w:r>
        <w:rPr>
          <w:rFonts w:ascii="Arial" w:hAnsi="Arial" w:cs="Arial"/>
          <w:sz w:val="22"/>
          <w:szCs w:val="22"/>
        </w:rPr>
        <w:t>L</w:t>
      </w:r>
      <w:r w:rsidR="000C49CF">
        <w:rPr>
          <w:rFonts w:ascii="Arial" w:hAnsi="Arial" w:cs="Arial"/>
          <w:sz w:val="22"/>
          <w:szCs w:val="22"/>
        </w:rPr>
        <w:t>ist</w:t>
      </w:r>
      <w:r>
        <w:rPr>
          <w:rFonts w:ascii="Arial" w:hAnsi="Arial" w:cs="Arial"/>
          <w:sz w:val="22"/>
          <w:szCs w:val="22"/>
        </w:rPr>
        <w:t xml:space="preserve"> and W</w:t>
      </w:r>
      <w:r w:rsidR="000C49CF">
        <w:rPr>
          <w:rFonts w:ascii="Arial" w:hAnsi="Arial" w:cs="Arial"/>
          <w:sz w:val="22"/>
          <w:szCs w:val="22"/>
        </w:rPr>
        <w:t xml:space="preserve">aiting </w:t>
      </w:r>
      <w:r>
        <w:rPr>
          <w:rFonts w:ascii="Arial" w:hAnsi="Arial" w:cs="Arial"/>
          <w:sz w:val="22"/>
          <w:szCs w:val="22"/>
        </w:rPr>
        <w:t>T</w:t>
      </w:r>
      <w:r w:rsidR="000C49CF">
        <w:rPr>
          <w:rFonts w:ascii="Arial" w:hAnsi="Arial" w:cs="Arial"/>
          <w:sz w:val="22"/>
          <w:szCs w:val="22"/>
        </w:rPr>
        <w:t>imes</w:t>
      </w:r>
      <w:r w:rsidR="000A3CAD">
        <w:rPr>
          <w:rFonts w:ascii="Arial" w:hAnsi="Arial" w:cs="Arial"/>
          <w:sz w:val="22"/>
          <w:szCs w:val="22"/>
        </w:rPr>
        <w:t xml:space="preserve"> - £0.</w:t>
      </w:r>
      <w:r>
        <w:rPr>
          <w:rFonts w:ascii="Arial" w:hAnsi="Arial" w:cs="Arial"/>
          <w:sz w:val="22"/>
          <w:szCs w:val="22"/>
        </w:rPr>
        <w:t>040</w:t>
      </w:r>
      <w:r w:rsidR="000A3CAD">
        <w:rPr>
          <w:rFonts w:ascii="Arial" w:hAnsi="Arial" w:cs="Arial"/>
          <w:sz w:val="22"/>
          <w:szCs w:val="22"/>
        </w:rPr>
        <w:t>m</w:t>
      </w:r>
    </w:p>
    <w:p w:rsidR="00326F96" w:rsidRDefault="00326F96" w:rsidP="00326F96">
      <w:pPr>
        <w:ind w:left="567"/>
        <w:rPr>
          <w:rFonts w:ascii="Arial" w:hAnsi="Arial" w:cs="Arial"/>
          <w:sz w:val="22"/>
          <w:szCs w:val="22"/>
        </w:rPr>
      </w:pPr>
    </w:p>
    <w:p w:rsidR="00784FED" w:rsidRDefault="00D27651" w:rsidP="00326F96">
      <w:pPr>
        <w:ind w:left="567"/>
        <w:rPr>
          <w:rFonts w:ascii="Arial" w:hAnsi="Arial" w:cs="Arial"/>
          <w:sz w:val="22"/>
          <w:szCs w:val="22"/>
        </w:rPr>
      </w:pPr>
      <w:r>
        <w:rPr>
          <w:rFonts w:ascii="Arial" w:hAnsi="Arial" w:cs="Arial"/>
          <w:sz w:val="22"/>
          <w:szCs w:val="22"/>
        </w:rPr>
        <w:t xml:space="preserve">This allocation forms part of the CAMHS transformation </w:t>
      </w:r>
      <w:r w:rsidR="00784FED">
        <w:rPr>
          <w:rFonts w:ascii="Arial" w:hAnsi="Arial" w:cs="Arial"/>
          <w:sz w:val="22"/>
          <w:szCs w:val="22"/>
        </w:rPr>
        <w:t>funding</w:t>
      </w:r>
      <w:r w:rsidR="005F4367">
        <w:rPr>
          <w:rFonts w:ascii="Arial" w:hAnsi="Arial" w:cs="Arial"/>
          <w:sz w:val="22"/>
          <w:szCs w:val="22"/>
        </w:rPr>
        <w:t>, was expected</w:t>
      </w:r>
      <w:r>
        <w:rPr>
          <w:rFonts w:ascii="Arial" w:hAnsi="Arial" w:cs="Arial"/>
          <w:sz w:val="22"/>
          <w:szCs w:val="22"/>
        </w:rPr>
        <w:t xml:space="preserve"> and </w:t>
      </w:r>
      <w:r w:rsidR="005F4367">
        <w:rPr>
          <w:rFonts w:ascii="Arial" w:hAnsi="Arial" w:cs="Arial"/>
          <w:sz w:val="22"/>
          <w:szCs w:val="22"/>
        </w:rPr>
        <w:t xml:space="preserve">will be spent before the end of the financial year.  </w:t>
      </w:r>
    </w:p>
    <w:p w:rsidR="001A278F" w:rsidRPr="000E7795" w:rsidRDefault="001A278F" w:rsidP="00AD38C8">
      <w:pPr>
        <w:ind w:left="567" w:hanging="567"/>
        <w:jc w:val="both"/>
        <w:rPr>
          <w:rFonts w:ascii="Arial" w:hAnsi="Arial" w:cs="Arial"/>
          <w:sz w:val="22"/>
          <w:szCs w:val="22"/>
        </w:rPr>
      </w:pPr>
    </w:p>
    <w:p w:rsidR="00BB7C3B" w:rsidRPr="000E7795" w:rsidRDefault="000819F5" w:rsidP="00AD38C8">
      <w:pPr>
        <w:numPr>
          <w:ilvl w:val="0"/>
          <w:numId w:val="1"/>
        </w:numPr>
        <w:shd w:val="clear" w:color="auto" w:fill="D9D9D9"/>
        <w:ind w:left="567" w:hanging="567"/>
        <w:jc w:val="both"/>
        <w:rPr>
          <w:rFonts w:ascii="Arial" w:hAnsi="Arial" w:cs="Arial"/>
          <w:b/>
          <w:sz w:val="22"/>
          <w:szCs w:val="22"/>
        </w:rPr>
      </w:pPr>
      <w:r>
        <w:rPr>
          <w:rFonts w:ascii="Arial" w:hAnsi="Arial" w:cs="Arial"/>
          <w:b/>
          <w:sz w:val="22"/>
          <w:szCs w:val="22"/>
        </w:rPr>
        <w:t>Financial Position and Forecast</w:t>
      </w:r>
    </w:p>
    <w:p w:rsidR="00BB7C3B" w:rsidRDefault="00BB7C3B" w:rsidP="00AD38C8">
      <w:pPr>
        <w:ind w:left="567" w:hanging="567"/>
        <w:jc w:val="both"/>
        <w:rPr>
          <w:rFonts w:ascii="Arial" w:hAnsi="Arial" w:cs="Arial"/>
          <w:sz w:val="22"/>
          <w:szCs w:val="22"/>
        </w:rPr>
      </w:pPr>
      <w:r>
        <w:rPr>
          <w:rFonts w:ascii="Arial" w:hAnsi="Arial" w:cs="Arial"/>
          <w:sz w:val="22"/>
          <w:szCs w:val="22"/>
        </w:rPr>
        <w:t xml:space="preserve"> </w:t>
      </w:r>
    </w:p>
    <w:p w:rsidR="00AD38C8" w:rsidRPr="00C77CDF" w:rsidRDefault="00AD38C8" w:rsidP="00B20E8E">
      <w:pPr>
        <w:ind w:left="567"/>
        <w:jc w:val="both"/>
        <w:rPr>
          <w:rFonts w:ascii="Arial" w:hAnsi="Arial" w:cs="Arial"/>
          <w:b/>
          <w:bCs/>
          <w:sz w:val="22"/>
          <w:szCs w:val="22"/>
        </w:rPr>
      </w:pPr>
      <w:r w:rsidRPr="00381AD4">
        <w:rPr>
          <w:rFonts w:ascii="Arial" w:hAnsi="Arial" w:cs="Arial"/>
          <w:bCs/>
          <w:sz w:val="22"/>
          <w:szCs w:val="22"/>
        </w:rPr>
        <w:t xml:space="preserve">The main financial pressures </w:t>
      </w:r>
      <w:r>
        <w:rPr>
          <w:rFonts w:ascii="Arial" w:hAnsi="Arial" w:cs="Arial"/>
          <w:bCs/>
          <w:sz w:val="22"/>
          <w:szCs w:val="22"/>
        </w:rPr>
        <w:t>included within the financial position</w:t>
      </w:r>
      <w:r w:rsidRPr="00381AD4">
        <w:rPr>
          <w:rFonts w:ascii="Arial" w:hAnsi="Arial" w:cs="Arial"/>
          <w:bCs/>
          <w:sz w:val="22"/>
          <w:szCs w:val="22"/>
        </w:rPr>
        <w:t xml:space="preserve"> are shown below in </w:t>
      </w:r>
      <w:r w:rsidRPr="00381AD4">
        <w:rPr>
          <w:rFonts w:ascii="Arial" w:hAnsi="Arial" w:cs="Arial"/>
          <w:b/>
          <w:bCs/>
          <w:sz w:val="22"/>
          <w:szCs w:val="22"/>
        </w:rPr>
        <w:t xml:space="preserve">Graph </w:t>
      </w:r>
      <w:r>
        <w:rPr>
          <w:rFonts w:ascii="Arial" w:hAnsi="Arial" w:cs="Arial"/>
          <w:b/>
          <w:bCs/>
          <w:sz w:val="22"/>
          <w:szCs w:val="22"/>
        </w:rPr>
        <w:t>1</w:t>
      </w:r>
      <w:r>
        <w:rPr>
          <w:rFonts w:ascii="Arial" w:hAnsi="Arial" w:cs="Arial"/>
          <w:bCs/>
          <w:sz w:val="22"/>
          <w:szCs w:val="22"/>
        </w:rPr>
        <w:t xml:space="preserve"> </w:t>
      </w:r>
      <w:r w:rsidR="00E2374D">
        <w:rPr>
          <w:rFonts w:ascii="Arial" w:hAnsi="Arial" w:cs="Arial"/>
          <w:bCs/>
          <w:sz w:val="22"/>
          <w:szCs w:val="22"/>
        </w:rPr>
        <w:t>which presents the CCGs forecas</w:t>
      </w:r>
      <w:r w:rsidR="00D73F57">
        <w:rPr>
          <w:rFonts w:ascii="Arial" w:hAnsi="Arial" w:cs="Arial"/>
          <w:bCs/>
          <w:sz w:val="22"/>
          <w:szCs w:val="22"/>
        </w:rPr>
        <w:t xml:space="preserve">t outturn position for the year. A </w:t>
      </w:r>
      <w:r>
        <w:rPr>
          <w:rFonts w:ascii="Arial" w:hAnsi="Arial" w:cs="Arial"/>
          <w:bCs/>
          <w:sz w:val="22"/>
          <w:szCs w:val="22"/>
        </w:rPr>
        <w:t xml:space="preserve">full breakdown of the CCG position is detailed in </w:t>
      </w:r>
      <w:r>
        <w:rPr>
          <w:rFonts w:ascii="Arial" w:hAnsi="Arial" w:cs="Arial"/>
          <w:b/>
          <w:bCs/>
          <w:sz w:val="22"/>
          <w:szCs w:val="22"/>
        </w:rPr>
        <w:t>Appendix 1.</w:t>
      </w:r>
    </w:p>
    <w:p w:rsidR="00AD38C8" w:rsidRDefault="00AD38C8" w:rsidP="00B20E8E">
      <w:pPr>
        <w:ind w:left="567"/>
        <w:jc w:val="both"/>
        <w:rPr>
          <w:rFonts w:ascii="Arial" w:hAnsi="Arial" w:cs="Arial"/>
          <w:bCs/>
          <w:sz w:val="22"/>
          <w:szCs w:val="22"/>
        </w:rPr>
      </w:pPr>
    </w:p>
    <w:p w:rsidR="00AD38C8" w:rsidRPr="00FE1046" w:rsidRDefault="00AD38C8" w:rsidP="00B20E8E">
      <w:pPr>
        <w:ind w:left="567"/>
        <w:jc w:val="both"/>
        <w:rPr>
          <w:rFonts w:ascii="Arial" w:hAnsi="Arial" w:cs="Arial"/>
          <w:bCs/>
          <w:sz w:val="22"/>
          <w:szCs w:val="22"/>
        </w:rPr>
      </w:pPr>
      <w:r w:rsidRPr="00FE1046">
        <w:rPr>
          <w:rFonts w:ascii="Arial" w:hAnsi="Arial" w:cs="Arial"/>
          <w:bCs/>
          <w:sz w:val="22"/>
          <w:szCs w:val="22"/>
        </w:rPr>
        <w:t>There are forecast pressures wi</w:t>
      </w:r>
      <w:r w:rsidR="001B4189" w:rsidRPr="00FE1046">
        <w:rPr>
          <w:rFonts w:ascii="Arial" w:hAnsi="Arial" w:cs="Arial"/>
          <w:bCs/>
          <w:sz w:val="22"/>
          <w:szCs w:val="22"/>
        </w:rPr>
        <w:t>thin</w:t>
      </w:r>
      <w:r w:rsidR="003E7A0E">
        <w:rPr>
          <w:rFonts w:ascii="Arial" w:hAnsi="Arial" w:cs="Arial"/>
          <w:bCs/>
          <w:sz w:val="22"/>
          <w:szCs w:val="22"/>
        </w:rPr>
        <w:t xml:space="preserve"> f</w:t>
      </w:r>
      <w:r w:rsidR="001B4189" w:rsidRPr="00FE1046">
        <w:rPr>
          <w:rFonts w:ascii="Arial" w:hAnsi="Arial" w:cs="Arial"/>
          <w:bCs/>
          <w:sz w:val="22"/>
          <w:szCs w:val="22"/>
        </w:rPr>
        <w:t xml:space="preserve">unded </w:t>
      </w:r>
      <w:r w:rsidR="003E7A0E">
        <w:rPr>
          <w:rFonts w:ascii="Arial" w:hAnsi="Arial" w:cs="Arial"/>
          <w:bCs/>
          <w:sz w:val="22"/>
          <w:szCs w:val="22"/>
        </w:rPr>
        <w:t>n</w:t>
      </w:r>
      <w:r w:rsidR="001B4189" w:rsidRPr="00FE1046">
        <w:rPr>
          <w:rFonts w:ascii="Arial" w:hAnsi="Arial" w:cs="Arial"/>
          <w:bCs/>
          <w:sz w:val="22"/>
          <w:szCs w:val="22"/>
        </w:rPr>
        <w:t xml:space="preserve">ursing </w:t>
      </w:r>
      <w:r w:rsidR="003E7A0E">
        <w:rPr>
          <w:rFonts w:ascii="Arial" w:hAnsi="Arial" w:cs="Arial"/>
          <w:bCs/>
          <w:sz w:val="22"/>
          <w:szCs w:val="22"/>
        </w:rPr>
        <w:t>c</w:t>
      </w:r>
      <w:r w:rsidR="001B4189" w:rsidRPr="00FE1046">
        <w:rPr>
          <w:rFonts w:ascii="Arial" w:hAnsi="Arial" w:cs="Arial"/>
          <w:bCs/>
          <w:sz w:val="22"/>
          <w:szCs w:val="22"/>
        </w:rPr>
        <w:t>are</w:t>
      </w:r>
      <w:r w:rsidR="003F4A6E">
        <w:rPr>
          <w:rFonts w:ascii="Arial" w:hAnsi="Arial" w:cs="Arial"/>
          <w:bCs/>
          <w:sz w:val="22"/>
          <w:szCs w:val="22"/>
        </w:rPr>
        <w:t xml:space="preserve"> due to the nationally mandated uplift,</w:t>
      </w:r>
      <w:r w:rsidR="000968D0" w:rsidRPr="00FE1046">
        <w:rPr>
          <w:rFonts w:ascii="Arial" w:hAnsi="Arial" w:cs="Arial"/>
          <w:bCs/>
          <w:sz w:val="22"/>
          <w:szCs w:val="22"/>
        </w:rPr>
        <w:t xml:space="preserve"> </w:t>
      </w:r>
      <w:r w:rsidR="003F4A6E">
        <w:rPr>
          <w:rFonts w:ascii="Arial" w:hAnsi="Arial" w:cs="Arial"/>
          <w:bCs/>
          <w:sz w:val="22"/>
          <w:szCs w:val="22"/>
        </w:rPr>
        <w:t xml:space="preserve">and </w:t>
      </w:r>
      <w:r w:rsidR="00B265CC">
        <w:rPr>
          <w:rFonts w:ascii="Arial" w:hAnsi="Arial" w:cs="Arial"/>
          <w:bCs/>
          <w:sz w:val="22"/>
          <w:szCs w:val="22"/>
        </w:rPr>
        <w:t xml:space="preserve">in </w:t>
      </w:r>
      <w:r w:rsidR="003F4A6E">
        <w:rPr>
          <w:rFonts w:ascii="Arial" w:hAnsi="Arial" w:cs="Arial"/>
          <w:bCs/>
          <w:sz w:val="22"/>
          <w:szCs w:val="22"/>
        </w:rPr>
        <w:t xml:space="preserve">acute care. </w:t>
      </w:r>
      <w:r w:rsidR="00D73F57">
        <w:rPr>
          <w:rFonts w:ascii="Arial" w:hAnsi="Arial" w:cs="Arial"/>
          <w:bCs/>
          <w:sz w:val="22"/>
          <w:szCs w:val="22"/>
        </w:rPr>
        <w:t>Pressures on acute budgets are particularly evident at</w:t>
      </w:r>
      <w:r w:rsidR="00BD41F8" w:rsidRPr="00FE1046">
        <w:rPr>
          <w:rFonts w:ascii="Arial" w:hAnsi="Arial" w:cs="Arial"/>
          <w:bCs/>
          <w:sz w:val="22"/>
          <w:szCs w:val="22"/>
        </w:rPr>
        <w:t xml:space="preserve"> </w:t>
      </w:r>
      <w:r w:rsidR="009745C9" w:rsidRPr="00FE1046">
        <w:rPr>
          <w:rFonts w:ascii="Arial" w:hAnsi="Arial" w:cs="Arial"/>
          <w:bCs/>
          <w:sz w:val="22"/>
          <w:szCs w:val="22"/>
        </w:rPr>
        <w:t>Alder Hey</w:t>
      </w:r>
      <w:r w:rsidR="0086220E">
        <w:rPr>
          <w:rFonts w:ascii="Arial" w:hAnsi="Arial" w:cs="Arial"/>
          <w:bCs/>
          <w:sz w:val="22"/>
          <w:szCs w:val="22"/>
        </w:rPr>
        <w:t>, Aintree</w:t>
      </w:r>
      <w:r w:rsidR="009745C9" w:rsidRPr="00FE1046">
        <w:rPr>
          <w:rFonts w:ascii="Arial" w:hAnsi="Arial" w:cs="Arial"/>
          <w:bCs/>
          <w:sz w:val="22"/>
          <w:szCs w:val="22"/>
        </w:rPr>
        <w:t xml:space="preserve">, </w:t>
      </w:r>
      <w:proofErr w:type="gramStart"/>
      <w:r w:rsidRPr="00FE1046">
        <w:rPr>
          <w:rFonts w:ascii="Arial" w:hAnsi="Arial" w:cs="Arial"/>
          <w:bCs/>
          <w:sz w:val="22"/>
          <w:szCs w:val="22"/>
        </w:rPr>
        <w:t>Liverpool</w:t>
      </w:r>
      <w:proofErr w:type="gramEnd"/>
      <w:r w:rsidRPr="00FE1046">
        <w:rPr>
          <w:rFonts w:ascii="Arial" w:hAnsi="Arial" w:cs="Arial"/>
          <w:bCs/>
          <w:sz w:val="22"/>
          <w:szCs w:val="22"/>
        </w:rPr>
        <w:t xml:space="preserve"> Heart &amp; Chest</w:t>
      </w:r>
      <w:r w:rsidR="009745C9" w:rsidRPr="00FE1046">
        <w:rPr>
          <w:rFonts w:ascii="Arial" w:hAnsi="Arial" w:cs="Arial"/>
          <w:bCs/>
          <w:sz w:val="22"/>
          <w:szCs w:val="22"/>
        </w:rPr>
        <w:t xml:space="preserve"> </w:t>
      </w:r>
      <w:r w:rsidRPr="00FE1046">
        <w:rPr>
          <w:rFonts w:ascii="Arial" w:hAnsi="Arial" w:cs="Arial"/>
          <w:bCs/>
          <w:sz w:val="22"/>
          <w:szCs w:val="22"/>
        </w:rPr>
        <w:t>and</w:t>
      </w:r>
      <w:r w:rsidR="009745C9" w:rsidRPr="00FE1046">
        <w:rPr>
          <w:rFonts w:ascii="Arial" w:hAnsi="Arial" w:cs="Arial"/>
          <w:bCs/>
          <w:sz w:val="22"/>
          <w:szCs w:val="22"/>
        </w:rPr>
        <w:t xml:space="preserve"> </w:t>
      </w:r>
      <w:r w:rsidR="00B265CC">
        <w:rPr>
          <w:rFonts w:ascii="Arial" w:hAnsi="Arial" w:cs="Arial"/>
          <w:bCs/>
          <w:sz w:val="22"/>
          <w:szCs w:val="22"/>
        </w:rPr>
        <w:t xml:space="preserve">in </w:t>
      </w:r>
      <w:r w:rsidR="00BD41F8" w:rsidRPr="00FE1046">
        <w:rPr>
          <w:rFonts w:ascii="Arial" w:hAnsi="Arial" w:cs="Arial"/>
          <w:bCs/>
          <w:sz w:val="22"/>
          <w:szCs w:val="22"/>
        </w:rPr>
        <w:t xml:space="preserve">the </w:t>
      </w:r>
      <w:r w:rsidR="009745C9" w:rsidRPr="00FE1046">
        <w:rPr>
          <w:rFonts w:ascii="Arial" w:hAnsi="Arial" w:cs="Arial"/>
          <w:bCs/>
          <w:sz w:val="22"/>
          <w:szCs w:val="22"/>
        </w:rPr>
        <w:t>Independent Sector</w:t>
      </w:r>
      <w:r w:rsidR="00B265CC">
        <w:rPr>
          <w:rFonts w:ascii="Arial" w:hAnsi="Arial" w:cs="Arial"/>
          <w:bCs/>
          <w:sz w:val="22"/>
          <w:szCs w:val="22"/>
        </w:rPr>
        <w:t xml:space="preserve">, mainly </w:t>
      </w:r>
      <w:r w:rsidR="00147C9C">
        <w:rPr>
          <w:rFonts w:ascii="Arial" w:hAnsi="Arial" w:cs="Arial"/>
          <w:bCs/>
          <w:sz w:val="22"/>
          <w:szCs w:val="22"/>
        </w:rPr>
        <w:t xml:space="preserve">with </w:t>
      </w:r>
      <w:r w:rsidR="00B265CC">
        <w:rPr>
          <w:rFonts w:ascii="Arial" w:hAnsi="Arial" w:cs="Arial"/>
          <w:bCs/>
          <w:sz w:val="22"/>
          <w:szCs w:val="22"/>
        </w:rPr>
        <w:t>Ramsay Healthcare</w:t>
      </w:r>
      <w:r w:rsidRPr="00FE1046">
        <w:rPr>
          <w:rFonts w:ascii="Arial" w:hAnsi="Arial" w:cs="Arial"/>
          <w:bCs/>
          <w:sz w:val="22"/>
          <w:szCs w:val="22"/>
        </w:rPr>
        <w:t xml:space="preserve">. </w:t>
      </w:r>
    </w:p>
    <w:p w:rsidR="00AD38C8" w:rsidRPr="00FE1046" w:rsidRDefault="00AD38C8" w:rsidP="00B20E8E">
      <w:pPr>
        <w:ind w:left="567"/>
        <w:jc w:val="both"/>
        <w:rPr>
          <w:rFonts w:ascii="Arial" w:hAnsi="Arial" w:cs="Arial"/>
          <w:bCs/>
          <w:sz w:val="22"/>
          <w:szCs w:val="22"/>
        </w:rPr>
      </w:pPr>
    </w:p>
    <w:p w:rsidR="00AD38C8" w:rsidRDefault="00AD38C8" w:rsidP="00B20E8E">
      <w:pPr>
        <w:ind w:left="567"/>
        <w:jc w:val="both"/>
        <w:rPr>
          <w:rFonts w:ascii="Arial" w:hAnsi="Arial" w:cs="Arial"/>
          <w:bCs/>
          <w:sz w:val="22"/>
          <w:szCs w:val="22"/>
        </w:rPr>
      </w:pPr>
      <w:proofErr w:type="gramStart"/>
      <w:r w:rsidRPr="00FE1046">
        <w:rPr>
          <w:rFonts w:ascii="Arial" w:hAnsi="Arial" w:cs="Arial"/>
          <w:bCs/>
          <w:sz w:val="22"/>
          <w:szCs w:val="22"/>
        </w:rPr>
        <w:t>The overspend</w:t>
      </w:r>
      <w:proofErr w:type="gramEnd"/>
      <w:r w:rsidRPr="00FE1046">
        <w:rPr>
          <w:rFonts w:ascii="Arial" w:hAnsi="Arial" w:cs="Arial"/>
          <w:bCs/>
          <w:sz w:val="22"/>
          <w:szCs w:val="22"/>
        </w:rPr>
        <w:t xml:space="preserve"> is </w:t>
      </w:r>
      <w:r w:rsidR="00604C8C">
        <w:rPr>
          <w:rFonts w:ascii="Arial" w:hAnsi="Arial" w:cs="Arial"/>
          <w:bCs/>
          <w:sz w:val="22"/>
          <w:szCs w:val="22"/>
        </w:rPr>
        <w:t>supported</w:t>
      </w:r>
      <w:r w:rsidR="002747FF">
        <w:rPr>
          <w:rFonts w:ascii="Arial" w:hAnsi="Arial" w:cs="Arial"/>
          <w:bCs/>
          <w:sz w:val="22"/>
          <w:szCs w:val="22"/>
        </w:rPr>
        <w:t xml:space="preserve"> by</w:t>
      </w:r>
      <w:r w:rsidRPr="00FE1046">
        <w:rPr>
          <w:rFonts w:ascii="Arial" w:hAnsi="Arial" w:cs="Arial"/>
          <w:bCs/>
          <w:sz w:val="22"/>
          <w:szCs w:val="22"/>
        </w:rPr>
        <w:t xml:space="preserve"> underspends with other acute providers, </w:t>
      </w:r>
      <w:r w:rsidR="00D73F57">
        <w:rPr>
          <w:rFonts w:ascii="Arial" w:hAnsi="Arial" w:cs="Arial"/>
          <w:bCs/>
          <w:sz w:val="22"/>
          <w:szCs w:val="22"/>
        </w:rPr>
        <w:t>notably</w:t>
      </w:r>
      <w:r w:rsidR="0086220E">
        <w:rPr>
          <w:rFonts w:ascii="Arial" w:hAnsi="Arial" w:cs="Arial"/>
          <w:bCs/>
          <w:sz w:val="22"/>
          <w:szCs w:val="22"/>
        </w:rPr>
        <w:t xml:space="preserve"> </w:t>
      </w:r>
      <w:r w:rsidRPr="00FE1046">
        <w:rPr>
          <w:rFonts w:ascii="Arial" w:hAnsi="Arial" w:cs="Arial"/>
          <w:bCs/>
          <w:sz w:val="22"/>
          <w:szCs w:val="22"/>
        </w:rPr>
        <w:t xml:space="preserve">Southport </w:t>
      </w:r>
      <w:r w:rsidR="00FE1046" w:rsidRPr="00FE1046">
        <w:rPr>
          <w:rFonts w:ascii="Arial" w:hAnsi="Arial" w:cs="Arial"/>
          <w:bCs/>
          <w:sz w:val="22"/>
          <w:szCs w:val="22"/>
        </w:rPr>
        <w:t>&amp; Ormskirk</w:t>
      </w:r>
      <w:r w:rsidR="0086220E">
        <w:rPr>
          <w:rFonts w:ascii="Arial" w:hAnsi="Arial" w:cs="Arial"/>
          <w:bCs/>
          <w:sz w:val="22"/>
          <w:szCs w:val="22"/>
        </w:rPr>
        <w:t xml:space="preserve"> </w:t>
      </w:r>
      <w:r w:rsidR="00604C8C">
        <w:rPr>
          <w:rFonts w:ascii="Arial" w:hAnsi="Arial" w:cs="Arial"/>
          <w:bCs/>
          <w:sz w:val="22"/>
          <w:szCs w:val="22"/>
        </w:rPr>
        <w:t xml:space="preserve">Hospital </w:t>
      </w:r>
      <w:r w:rsidR="0086220E">
        <w:rPr>
          <w:rFonts w:ascii="Arial" w:hAnsi="Arial" w:cs="Arial"/>
          <w:bCs/>
          <w:sz w:val="22"/>
          <w:szCs w:val="22"/>
        </w:rPr>
        <w:t>and Liverpool Women’s</w:t>
      </w:r>
      <w:r w:rsidR="00604C8C">
        <w:rPr>
          <w:rFonts w:ascii="Arial" w:hAnsi="Arial" w:cs="Arial"/>
          <w:bCs/>
          <w:sz w:val="22"/>
          <w:szCs w:val="22"/>
        </w:rPr>
        <w:t xml:space="preserve"> Hospital</w:t>
      </w:r>
      <w:r w:rsidRPr="00FE1046">
        <w:rPr>
          <w:rFonts w:ascii="Arial" w:hAnsi="Arial" w:cs="Arial"/>
          <w:bCs/>
          <w:sz w:val="22"/>
          <w:szCs w:val="22"/>
        </w:rPr>
        <w:t>.</w:t>
      </w:r>
    </w:p>
    <w:p w:rsidR="006D4E6A" w:rsidRDefault="006D4E6A" w:rsidP="00B20E8E">
      <w:pPr>
        <w:ind w:left="567"/>
        <w:jc w:val="both"/>
        <w:rPr>
          <w:rFonts w:ascii="Arial" w:hAnsi="Arial" w:cs="Arial"/>
          <w:bCs/>
          <w:sz w:val="22"/>
          <w:szCs w:val="22"/>
        </w:rPr>
      </w:pPr>
    </w:p>
    <w:p w:rsidR="006D4E6A" w:rsidRDefault="006D4E6A" w:rsidP="006D4E6A">
      <w:pPr>
        <w:ind w:left="567"/>
        <w:jc w:val="both"/>
        <w:rPr>
          <w:rFonts w:ascii="Arial" w:hAnsi="Arial" w:cs="Arial"/>
          <w:color w:val="000000" w:themeColor="text1"/>
          <w:sz w:val="22"/>
          <w:szCs w:val="22"/>
        </w:rPr>
      </w:pPr>
      <w:r>
        <w:rPr>
          <w:rFonts w:ascii="Arial" w:hAnsi="Arial" w:cs="Arial"/>
          <w:color w:val="000000" w:themeColor="text1"/>
          <w:sz w:val="22"/>
          <w:szCs w:val="22"/>
        </w:rPr>
        <w:t>It should be noted that whilst th</w:t>
      </w:r>
      <w:r w:rsidRPr="0027516D">
        <w:rPr>
          <w:rFonts w:ascii="Arial" w:hAnsi="Arial" w:cs="Arial"/>
          <w:color w:val="000000" w:themeColor="text1"/>
          <w:sz w:val="22"/>
          <w:szCs w:val="22"/>
        </w:rPr>
        <w:t xml:space="preserve">e financial </w:t>
      </w:r>
      <w:r>
        <w:rPr>
          <w:rFonts w:ascii="Arial" w:hAnsi="Arial" w:cs="Arial"/>
          <w:color w:val="000000" w:themeColor="text1"/>
          <w:sz w:val="22"/>
          <w:szCs w:val="22"/>
        </w:rPr>
        <w:t>report</w:t>
      </w:r>
      <w:r w:rsidRPr="0027516D">
        <w:rPr>
          <w:rFonts w:ascii="Arial" w:hAnsi="Arial" w:cs="Arial"/>
          <w:color w:val="000000" w:themeColor="text1"/>
          <w:sz w:val="22"/>
          <w:szCs w:val="22"/>
        </w:rPr>
        <w:t xml:space="preserve"> </w:t>
      </w:r>
      <w:r>
        <w:rPr>
          <w:rFonts w:ascii="Arial" w:hAnsi="Arial" w:cs="Arial"/>
          <w:color w:val="000000" w:themeColor="text1"/>
          <w:sz w:val="22"/>
          <w:szCs w:val="22"/>
        </w:rPr>
        <w:t>is up</w:t>
      </w:r>
      <w:r w:rsidRPr="0027516D">
        <w:rPr>
          <w:rFonts w:ascii="Arial" w:hAnsi="Arial" w:cs="Arial"/>
          <w:color w:val="000000" w:themeColor="text1"/>
          <w:sz w:val="22"/>
          <w:szCs w:val="22"/>
        </w:rPr>
        <w:t xml:space="preserve"> to the end of </w:t>
      </w:r>
      <w:r>
        <w:rPr>
          <w:rFonts w:ascii="Arial" w:hAnsi="Arial" w:cs="Arial"/>
          <w:color w:val="000000" w:themeColor="text1"/>
          <w:sz w:val="22"/>
          <w:szCs w:val="22"/>
        </w:rPr>
        <w:t>January 2017</w:t>
      </w:r>
      <w:r w:rsidRPr="0027516D">
        <w:rPr>
          <w:rFonts w:ascii="Arial" w:hAnsi="Arial" w:cs="Arial"/>
          <w:color w:val="000000" w:themeColor="text1"/>
          <w:sz w:val="22"/>
          <w:szCs w:val="22"/>
        </w:rPr>
        <w:t xml:space="preserve">, the CCG has based its reported position on </w:t>
      </w:r>
      <w:r>
        <w:rPr>
          <w:rFonts w:ascii="Arial" w:hAnsi="Arial" w:cs="Arial"/>
          <w:color w:val="000000" w:themeColor="text1"/>
          <w:sz w:val="22"/>
          <w:szCs w:val="22"/>
        </w:rPr>
        <w:t xml:space="preserve">the latest </w:t>
      </w:r>
      <w:r w:rsidRPr="0027516D">
        <w:rPr>
          <w:rFonts w:ascii="Arial" w:hAnsi="Arial" w:cs="Arial"/>
          <w:color w:val="000000" w:themeColor="text1"/>
          <w:sz w:val="22"/>
          <w:szCs w:val="22"/>
        </w:rPr>
        <w:t xml:space="preserve">information received from Acute </w:t>
      </w:r>
      <w:r>
        <w:rPr>
          <w:rFonts w:ascii="Arial" w:hAnsi="Arial" w:cs="Arial"/>
          <w:color w:val="000000" w:themeColor="text1"/>
          <w:sz w:val="22"/>
          <w:szCs w:val="22"/>
        </w:rPr>
        <w:t xml:space="preserve">and Independent providers which is up </w:t>
      </w:r>
      <w:r w:rsidRPr="0027516D">
        <w:rPr>
          <w:rFonts w:ascii="Arial" w:hAnsi="Arial" w:cs="Arial"/>
          <w:color w:val="000000" w:themeColor="text1"/>
          <w:sz w:val="22"/>
          <w:szCs w:val="22"/>
        </w:rPr>
        <w:t>to the end of</w:t>
      </w:r>
      <w:r>
        <w:rPr>
          <w:rFonts w:ascii="Arial" w:hAnsi="Arial" w:cs="Arial"/>
          <w:color w:val="000000" w:themeColor="text1"/>
          <w:sz w:val="22"/>
          <w:szCs w:val="22"/>
        </w:rPr>
        <w:t xml:space="preserve"> December 2016. </w:t>
      </w:r>
    </w:p>
    <w:p w:rsidR="006D4E6A" w:rsidRPr="00177260" w:rsidRDefault="006D4E6A" w:rsidP="00B20E8E">
      <w:pPr>
        <w:ind w:left="567"/>
        <w:jc w:val="both"/>
        <w:rPr>
          <w:rFonts w:ascii="Arial" w:hAnsi="Arial" w:cs="Arial"/>
          <w:bCs/>
          <w:sz w:val="22"/>
          <w:szCs w:val="22"/>
        </w:rPr>
      </w:pPr>
    </w:p>
    <w:p w:rsidR="00AD38C8" w:rsidRDefault="00AD38C8" w:rsidP="00B20E8E">
      <w:pPr>
        <w:ind w:left="567"/>
        <w:jc w:val="both"/>
        <w:rPr>
          <w:rFonts w:ascii="Arial" w:hAnsi="Arial" w:cs="Arial"/>
          <w:color w:val="000000" w:themeColor="text1"/>
          <w:sz w:val="22"/>
          <w:szCs w:val="22"/>
        </w:rPr>
      </w:pPr>
      <w:r w:rsidRPr="004E0091">
        <w:rPr>
          <w:rFonts w:ascii="Arial" w:hAnsi="Arial" w:cs="Arial"/>
          <w:b/>
          <w:color w:val="000000" w:themeColor="text1"/>
          <w:sz w:val="22"/>
          <w:szCs w:val="22"/>
        </w:rPr>
        <w:t>A</w:t>
      </w:r>
      <w:r w:rsidRPr="002D705B">
        <w:rPr>
          <w:rFonts w:ascii="Arial" w:hAnsi="Arial" w:cs="Arial"/>
          <w:b/>
          <w:color w:val="000000" w:themeColor="text1"/>
          <w:sz w:val="22"/>
          <w:szCs w:val="22"/>
        </w:rPr>
        <w:t>ppendix 2</w:t>
      </w:r>
      <w:r w:rsidRPr="002D705B">
        <w:rPr>
          <w:rFonts w:ascii="Arial" w:hAnsi="Arial" w:cs="Arial"/>
          <w:color w:val="000000" w:themeColor="text1"/>
          <w:sz w:val="22"/>
          <w:szCs w:val="22"/>
        </w:rPr>
        <w:t xml:space="preserve"> outlines the financial performance by provider.</w:t>
      </w:r>
    </w:p>
    <w:p w:rsidR="00AD38C8" w:rsidRDefault="00AD38C8" w:rsidP="00AD38C8">
      <w:pPr>
        <w:ind w:left="720"/>
        <w:rPr>
          <w:rFonts w:ascii="Arial" w:hAnsi="Arial" w:cs="Arial"/>
          <w:bCs/>
          <w:sz w:val="22"/>
          <w:szCs w:val="22"/>
        </w:rPr>
      </w:pPr>
    </w:p>
    <w:p w:rsidR="000A101C" w:rsidRDefault="00AD38C8" w:rsidP="000968D0">
      <w:pPr>
        <w:ind w:left="567"/>
        <w:rPr>
          <w:noProof/>
        </w:rPr>
      </w:pPr>
      <w:r w:rsidRPr="002A1EDE">
        <w:rPr>
          <w:rFonts w:ascii="Arial" w:hAnsi="Arial" w:cs="Arial"/>
          <w:b/>
          <w:bCs/>
          <w:sz w:val="22"/>
          <w:szCs w:val="22"/>
        </w:rPr>
        <w:t>Graph 1</w:t>
      </w:r>
      <w:r>
        <w:rPr>
          <w:noProof/>
        </w:rPr>
        <w:t xml:space="preserve"> </w:t>
      </w:r>
    </w:p>
    <w:p w:rsidR="00862236" w:rsidRPr="00053400" w:rsidRDefault="00823C5F" w:rsidP="00053400">
      <w:pPr>
        <w:ind w:left="1134" w:hanging="567"/>
        <w:jc w:val="both"/>
        <w:rPr>
          <w:rFonts w:ascii="Arial" w:hAnsi="Arial" w:cs="Arial"/>
          <w:sz w:val="22"/>
          <w:szCs w:val="22"/>
        </w:rPr>
      </w:pPr>
      <w:r>
        <w:rPr>
          <w:noProof/>
        </w:rPr>
        <w:drawing>
          <wp:inline distT="0" distB="0" distL="0" distR="0" wp14:anchorId="5FC707A2" wp14:editId="717CC0E5">
            <wp:extent cx="5943600" cy="37623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45C9" w:rsidRPr="00154AB4" w:rsidRDefault="009745C9" w:rsidP="002C7266">
      <w:pPr>
        <w:ind w:left="567"/>
        <w:rPr>
          <w:rFonts w:ascii="Arial" w:hAnsi="Arial" w:cs="Arial"/>
          <w:b/>
          <w:bCs/>
          <w:sz w:val="22"/>
          <w:szCs w:val="22"/>
        </w:rPr>
      </w:pPr>
      <w:r w:rsidRPr="00154AB4">
        <w:rPr>
          <w:rFonts w:ascii="Arial" w:hAnsi="Arial" w:cs="Arial"/>
          <w:b/>
          <w:bCs/>
          <w:sz w:val="22"/>
          <w:szCs w:val="22"/>
        </w:rPr>
        <w:lastRenderedPageBreak/>
        <w:t>Acute commissioning</w:t>
      </w:r>
    </w:p>
    <w:p w:rsidR="001D24E1" w:rsidRPr="00154AB4" w:rsidRDefault="001D24E1" w:rsidP="001D24E1">
      <w:pPr>
        <w:ind w:left="567"/>
        <w:rPr>
          <w:rFonts w:ascii="Arial" w:hAnsi="Arial" w:cs="Arial"/>
          <w:b/>
          <w:sz w:val="20"/>
          <w:szCs w:val="20"/>
        </w:rPr>
      </w:pPr>
    </w:p>
    <w:p w:rsidR="001D24E1" w:rsidRPr="00154AB4" w:rsidRDefault="001D24E1" w:rsidP="001D24E1">
      <w:pPr>
        <w:ind w:left="567"/>
        <w:rPr>
          <w:rFonts w:ascii="Arial" w:hAnsi="Arial" w:cs="Arial"/>
          <w:b/>
          <w:sz w:val="20"/>
          <w:szCs w:val="20"/>
        </w:rPr>
      </w:pPr>
      <w:r w:rsidRPr="00154AB4">
        <w:rPr>
          <w:rFonts w:ascii="Arial" w:hAnsi="Arial" w:cs="Arial"/>
          <w:b/>
          <w:sz w:val="20"/>
          <w:szCs w:val="20"/>
        </w:rPr>
        <w:t>Alder Hey Children’s Hospital Foundation Trust</w:t>
      </w:r>
    </w:p>
    <w:p w:rsidR="001D24E1" w:rsidRPr="00154AB4" w:rsidRDefault="001D24E1" w:rsidP="001D24E1">
      <w:pPr>
        <w:ind w:left="567"/>
        <w:rPr>
          <w:rFonts w:ascii="Arial" w:hAnsi="Arial" w:cs="Arial"/>
          <w:sz w:val="22"/>
          <w:szCs w:val="22"/>
        </w:rPr>
      </w:pPr>
    </w:p>
    <w:p w:rsidR="001D24E1" w:rsidRPr="001A221E" w:rsidRDefault="00317E53" w:rsidP="00B20E8E">
      <w:pPr>
        <w:ind w:left="567"/>
        <w:jc w:val="both"/>
        <w:rPr>
          <w:rFonts w:ascii="Arial" w:hAnsi="Arial" w:cs="Arial"/>
          <w:bCs/>
          <w:sz w:val="22"/>
          <w:szCs w:val="22"/>
        </w:rPr>
      </w:pPr>
      <w:r w:rsidRPr="001A221E">
        <w:rPr>
          <w:rFonts w:ascii="Arial" w:hAnsi="Arial" w:cs="Arial"/>
          <w:bCs/>
          <w:sz w:val="22"/>
          <w:szCs w:val="22"/>
        </w:rPr>
        <w:t xml:space="preserve">The year to </w:t>
      </w:r>
      <w:r w:rsidR="00A70E95" w:rsidRPr="001A221E">
        <w:rPr>
          <w:rFonts w:ascii="Arial" w:hAnsi="Arial" w:cs="Arial"/>
          <w:bCs/>
          <w:sz w:val="22"/>
          <w:szCs w:val="22"/>
        </w:rPr>
        <w:t>da</w:t>
      </w:r>
      <w:r w:rsidR="003B778A" w:rsidRPr="001A221E">
        <w:rPr>
          <w:rFonts w:ascii="Arial" w:hAnsi="Arial" w:cs="Arial"/>
          <w:bCs/>
          <w:sz w:val="22"/>
          <w:szCs w:val="22"/>
        </w:rPr>
        <w:t>te overspend</w:t>
      </w:r>
      <w:r w:rsidR="00154AB4" w:rsidRPr="001A221E">
        <w:rPr>
          <w:rFonts w:ascii="Arial" w:hAnsi="Arial" w:cs="Arial"/>
          <w:bCs/>
          <w:sz w:val="22"/>
          <w:szCs w:val="22"/>
        </w:rPr>
        <w:t xml:space="preserve"> is £0.477</w:t>
      </w:r>
      <w:r w:rsidR="00A70E95" w:rsidRPr="001A221E">
        <w:rPr>
          <w:rFonts w:ascii="Arial" w:hAnsi="Arial" w:cs="Arial"/>
          <w:bCs/>
          <w:sz w:val="22"/>
          <w:szCs w:val="22"/>
        </w:rPr>
        <w:t>m with t</w:t>
      </w:r>
      <w:r w:rsidR="001D24E1" w:rsidRPr="001A221E">
        <w:rPr>
          <w:rFonts w:ascii="Arial" w:hAnsi="Arial" w:cs="Arial"/>
          <w:bCs/>
          <w:sz w:val="22"/>
          <w:szCs w:val="22"/>
        </w:rPr>
        <w:t>he prominent area</w:t>
      </w:r>
      <w:r w:rsidR="006D1835" w:rsidRPr="001A221E">
        <w:rPr>
          <w:rFonts w:ascii="Arial" w:hAnsi="Arial" w:cs="Arial"/>
          <w:bCs/>
          <w:sz w:val="22"/>
          <w:szCs w:val="22"/>
        </w:rPr>
        <w:t>s</w:t>
      </w:r>
      <w:r w:rsidR="001D24E1" w:rsidRPr="001A221E">
        <w:rPr>
          <w:rFonts w:ascii="Arial" w:hAnsi="Arial" w:cs="Arial"/>
          <w:bCs/>
          <w:sz w:val="22"/>
          <w:szCs w:val="22"/>
        </w:rPr>
        <w:t xml:space="preserve"> of overspend </w:t>
      </w:r>
      <w:r w:rsidR="00A70E95" w:rsidRPr="001A221E">
        <w:rPr>
          <w:rFonts w:ascii="Arial" w:hAnsi="Arial" w:cs="Arial"/>
          <w:bCs/>
          <w:sz w:val="22"/>
          <w:szCs w:val="22"/>
        </w:rPr>
        <w:t>being</w:t>
      </w:r>
      <w:r w:rsidR="001D24E1" w:rsidRPr="001A221E">
        <w:rPr>
          <w:rFonts w:ascii="Arial" w:hAnsi="Arial" w:cs="Arial"/>
          <w:bCs/>
          <w:sz w:val="22"/>
          <w:szCs w:val="22"/>
        </w:rPr>
        <w:t xml:space="preserve"> in relation to</w:t>
      </w:r>
      <w:r w:rsidR="00621CCB" w:rsidRPr="001A221E">
        <w:rPr>
          <w:rFonts w:ascii="Arial" w:hAnsi="Arial" w:cs="Arial"/>
          <w:bCs/>
          <w:sz w:val="22"/>
          <w:szCs w:val="22"/>
        </w:rPr>
        <w:t xml:space="preserve"> </w:t>
      </w:r>
      <w:r w:rsidR="001A221E" w:rsidRPr="001A221E">
        <w:rPr>
          <w:rFonts w:ascii="Arial" w:hAnsi="Arial" w:cs="Arial"/>
          <w:bCs/>
          <w:sz w:val="22"/>
          <w:szCs w:val="22"/>
        </w:rPr>
        <w:t>Paediatrics</w:t>
      </w:r>
      <w:r w:rsidR="00CC0C93" w:rsidRPr="001A221E">
        <w:rPr>
          <w:rFonts w:ascii="Arial" w:hAnsi="Arial" w:cs="Arial"/>
          <w:bCs/>
          <w:sz w:val="22"/>
          <w:szCs w:val="22"/>
        </w:rPr>
        <w:t xml:space="preserve"> </w:t>
      </w:r>
      <w:r w:rsidR="00781388" w:rsidRPr="001A221E">
        <w:rPr>
          <w:rFonts w:ascii="Arial" w:hAnsi="Arial" w:cs="Arial"/>
          <w:bCs/>
          <w:sz w:val="22"/>
          <w:szCs w:val="22"/>
        </w:rPr>
        <w:t>and Paediatrics</w:t>
      </w:r>
      <w:r w:rsidR="001A221E" w:rsidRPr="001A221E">
        <w:rPr>
          <w:rFonts w:ascii="Arial" w:hAnsi="Arial" w:cs="Arial"/>
          <w:bCs/>
          <w:sz w:val="22"/>
          <w:szCs w:val="22"/>
        </w:rPr>
        <w:t xml:space="preserve"> ENT</w:t>
      </w:r>
      <w:r w:rsidR="00781388" w:rsidRPr="001A221E">
        <w:rPr>
          <w:rFonts w:ascii="Arial" w:hAnsi="Arial" w:cs="Arial"/>
          <w:bCs/>
          <w:sz w:val="22"/>
          <w:szCs w:val="22"/>
        </w:rPr>
        <w:t xml:space="preserve"> </w:t>
      </w:r>
      <w:r w:rsidR="004E0908" w:rsidRPr="001A221E">
        <w:rPr>
          <w:rFonts w:ascii="Arial" w:hAnsi="Arial" w:cs="Arial"/>
          <w:bCs/>
          <w:sz w:val="22"/>
          <w:szCs w:val="22"/>
        </w:rPr>
        <w:t>of £0.</w:t>
      </w:r>
      <w:r w:rsidR="001A221E" w:rsidRPr="001A221E">
        <w:rPr>
          <w:rFonts w:ascii="Arial" w:hAnsi="Arial" w:cs="Arial"/>
          <w:bCs/>
          <w:sz w:val="22"/>
          <w:szCs w:val="22"/>
        </w:rPr>
        <w:t>194</w:t>
      </w:r>
      <w:r w:rsidR="009B73AB" w:rsidRPr="001A221E">
        <w:rPr>
          <w:rFonts w:ascii="Arial" w:hAnsi="Arial" w:cs="Arial"/>
          <w:bCs/>
          <w:sz w:val="22"/>
          <w:szCs w:val="22"/>
        </w:rPr>
        <w:t>m and £0.</w:t>
      </w:r>
      <w:r w:rsidR="001A221E" w:rsidRPr="001A221E">
        <w:rPr>
          <w:rFonts w:ascii="Arial" w:hAnsi="Arial" w:cs="Arial"/>
          <w:bCs/>
          <w:sz w:val="22"/>
          <w:szCs w:val="22"/>
        </w:rPr>
        <w:t>054</w:t>
      </w:r>
      <w:r w:rsidR="006D1835" w:rsidRPr="001A221E">
        <w:rPr>
          <w:rFonts w:ascii="Arial" w:hAnsi="Arial" w:cs="Arial"/>
          <w:bCs/>
          <w:sz w:val="22"/>
          <w:szCs w:val="22"/>
        </w:rPr>
        <w:t>m respectively</w:t>
      </w:r>
      <w:r w:rsidR="009B73AB" w:rsidRPr="001A221E">
        <w:rPr>
          <w:rFonts w:ascii="Arial" w:hAnsi="Arial" w:cs="Arial"/>
          <w:bCs/>
          <w:sz w:val="22"/>
          <w:szCs w:val="22"/>
        </w:rPr>
        <w:t>.</w:t>
      </w:r>
      <w:r w:rsidR="001D24E1" w:rsidRPr="001A221E">
        <w:rPr>
          <w:rFonts w:ascii="Arial" w:hAnsi="Arial" w:cs="Arial"/>
          <w:bCs/>
          <w:sz w:val="22"/>
          <w:szCs w:val="22"/>
        </w:rPr>
        <w:t xml:space="preserve"> Other no</w:t>
      </w:r>
      <w:r w:rsidR="009B73AB" w:rsidRPr="001A221E">
        <w:rPr>
          <w:rFonts w:ascii="Arial" w:hAnsi="Arial" w:cs="Arial"/>
          <w:bCs/>
          <w:sz w:val="22"/>
          <w:szCs w:val="22"/>
        </w:rPr>
        <w:t>table overspends include a £0.0</w:t>
      </w:r>
      <w:r w:rsidR="001A221E" w:rsidRPr="001A221E">
        <w:rPr>
          <w:rFonts w:ascii="Arial" w:hAnsi="Arial" w:cs="Arial"/>
          <w:bCs/>
          <w:sz w:val="22"/>
          <w:szCs w:val="22"/>
        </w:rPr>
        <w:t>49</w:t>
      </w:r>
      <w:r w:rsidR="001D24E1" w:rsidRPr="001A221E">
        <w:rPr>
          <w:rFonts w:ascii="Arial" w:hAnsi="Arial" w:cs="Arial"/>
          <w:bCs/>
          <w:sz w:val="22"/>
          <w:szCs w:val="22"/>
        </w:rPr>
        <w:t xml:space="preserve">m </w:t>
      </w:r>
      <w:r w:rsidR="009B73AB" w:rsidRPr="001A221E">
        <w:rPr>
          <w:rFonts w:ascii="Arial" w:hAnsi="Arial" w:cs="Arial"/>
          <w:bCs/>
          <w:sz w:val="22"/>
          <w:szCs w:val="22"/>
        </w:rPr>
        <w:t>adverse pressure in relation to</w:t>
      </w:r>
      <w:r w:rsidR="001D24E1" w:rsidRPr="001A221E">
        <w:rPr>
          <w:rFonts w:ascii="Arial" w:hAnsi="Arial" w:cs="Arial"/>
          <w:bCs/>
          <w:sz w:val="22"/>
          <w:szCs w:val="22"/>
        </w:rPr>
        <w:t xml:space="preserve"> </w:t>
      </w:r>
      <w:r w:rsidR="00621CCB" w:rsidRPr="001A221E">
        <w:rPr>
          <w:rFonts w:ascii="Arial" w:hAnsi="Arial" w:cs="Arial"/>
          <w:bCs/>
          <w:sz w:val="22"/>
          <w:szCs w:val="22"/>
        </w:rPr>
        <w:t xml:space="preserve">Paediatric </w:t>
      </w:r>
      <w:r w:rsidR="00CC0C93" w:rsidRPr="001A221E">
        <w:rPr>
          <w:rFonts w:ascii="Arial" w:hAnsi="Arial" w:cs="Arial"/>
          <w:bCs/>
          <w:sz w:val="22"/>
          <w:szCs w:val="22"/>
        </w:rPr>
        <w:t>Urology</w:t>
      </w:r>
      <w:r w:rsidR="001D24E1" w:rsidRPr="001A221E">
        <w:rPr>
          <w:rFonts w:ascii="Arial" w:hAnsi="Arial" w:cs="Arial"/>
          <w:bCs/>
          <w:sz w:val="22"/>
          <w:szCs w:val="22"/>
        </w:rPr>
        <w:t xml:space="preserve">, as well as </w:t>
      </w:r>
      <w:r w:rsidR="00A70E95" w:rsidRPr="001A221E">
        <w:rPr>
          <w:rFonts w:ascii="Arial" w:hAnsi="Arial" w:cs="Arial"/>
          <w:bCs/>
          <w:sz w:val="22"/>
          <w:szCs w:val="22"/>
        </w:rPr>
        <w:t xml:space="preserve">overspends </w:t>
      </w:r>
      <w:r w:rsidR="009B73AB" w:rsidRPr="001A221E">
        <w:rPr>
          <w:rFonts w:ascii="Arial" w:hAnsi="Arial" w:cs="Arial"/>
          <w:bCs/>
          <w:sz w:val="22"/>
          <w:szCs w:val="22"/>
        </w:rPr>
        <w:t xml:space="preserve">within </w:t>
      </w:r>
      <w:r w:rsidR="001D24E1" w:rsidRPr="001A221E">
        <w:rPr>
          <w:rFonts w:ascii="Arial" w:hAnsi="Arial" w:cs="Arial"/>
          <w:bCs/>
          <w:sz w:val="22"/>
          <w:szCs w:val="22"/>
        </w:rPr>
        <w:t xml:space="preserve">Paediatric </w:t>
      </w:r>
      <w:r w:rsidR="001A221E" w:rsidRPr="001A221E">
        <w:rPr>
          <w:rFonts w:ascii="Arial" w:hAnsi="Arial" w:cs="Arial"/>
          <w:bCs/>
          <w:sz w:val="22"/>
          <w:szCs w:val="22"/>
        </w:rPr>
        <w:t>Intensive Care</w:t>
      </w:r>
      <w:r w:rsidR="001D24E1" w:rsidRPr="001A221E">
        <w:rPr>
          <w:rFonts w:ascii="Arial" w:hAnsi="Arial" w:cs="Arial"/>
          <w:bCs/>
          <w:sz w:val="22"/>
          <w:szCs w:val="22"/>
        </w:rPr>
        <w:t xml:space="preserve"> </w:t>
      </w:r>
      <w:r w:rsidR="00621CCB" w:rsidRPr="001A221E">
        <w:rPr>
          <w:rFonts w:ascii="Arial" w:hAnsi="Arial" w:cs="Arial"/>
          <w:bCs/>
          <w:sz w:val="22"/>
          <w:szCs w:val="22"/>
        </w:rPr>
        <w:t>of £0.0</w:t>
      </w:r>
      <w:r w:rsidR="001A221E" w:rsidRPr="001A221E">
        <w:rPr>
          <w:rFonts w:ascii="Arial" w:hAnsi="Arial" w:cs="Arial"/>
          <w:bCs/>
          <w:sz w:val="22"/>
          <w:szCs w:val="22"/>
        </w:rPr>
        <w:t>41</w:t>
      </w:r>
      <w:r w:rsidR="00621CCB" w:rsidRPr="001A221E">
        <w:rPr>
          <w:rFonts w:ascii="Arial" w:hAnsi="Arial" w:cs="Arial"/>
          <w:bCs/>
          <w:sz w:val="22"/>
          <w:szCs w:val="22"/>
        </w:rPr>
        <w:t>m</w:t>
      </w:r>
      <w:r w:rsidR="009B73AB" w:rsidRPr="001A221E">
        <w:rPr>
          <w:rFonts w:ascii="Arial" w:hAnsi="Arial" w:cs="Arial"/>
          <w:bCs/>
          <w:sz w:val="22"/>
          <w:szCs w:val="22"/>
        </w:rPr>
        <w:t>.</w:t>
      </w:r>
      <w:r w:rsidR="00501574" w:rsidRPr="001A221E">
        <w:rPr>
          <w:rFonts w:ascii="Arial" w:hAnsi="Arial" w:cs="Arial"/>
          <w:bCs/>
          <w:sz w:val="22"/>
          <w:szCs w:val="22"/>
        </w:rPr>
        <w:t xml:space="preserve"> </w:t>
      </w:r>
      <w:r w:rsidR="00170D1C" w:rsidRPr="001A221E">
        <w:rPr>
          <w:rFonts w:ascii="Arial" w:hAnsi="Arial" w:cs="Arial"/>
          <w:bCs/>
          <w:sz w:val="22"/>
          <w:szCs w:val="22"/>
        </w:rPr>
        <w:t>The</w:t>
      </w:r>
      <w:r w:rsidR="00621CCB" w:rsidRPr="001A221E">
        <w:rPr>
          <w:rFonts w:ascii="Arial" w:hAnsi="Arial" w:cs="Arial"/>
          <w:bCs/>
          <w:sz w:val="22"/>
          <w:szCs w:val="22"/>
        </w:rPr>
        <w:t xml:space="preserve"> forecast</w:t>
      </w:r>
      <w:r w:rsidR="00170D1C" w:rsidRPr="001A221E">
        <w:rPr>
          <w:rFonts w:ascii="Arial" w:hAnsi="Arial" w:cs="Arial"/>
          <w:bCs/>
          <w:sz w:val="22"/>
          <w:szCs w:val="22"/>
        </w:rPr>
        <w:t xml:space="preserve"> position</w:t>
      </w:r>
      <w:r w:rsidR="00621CCB" w:rsidRPr="001A221E">
        <w:rPr>
          <w:rFonts w:ascii="Arial" w:hAnsi="Arial" w:cs="Arial"/>
          <w:bCs/>
          <w:sz w:val="22"/>
          <w:szCs w:val="22"/>
        </w:rPr>
        <w:t xml:space="preserve"> </w:t>
      </w:r>
      <w:r w:rsidR="00170D1C" w:rsidRPr="001A221E">
        <w:rPr>
          <w:rFonts w:ascii="Arial" w:hAnsi="Arial" w:cs="Arial"/>
          <w:bCs/>
          <w:sz w:val="22"/>
          <w:szCs w:val="22"/>
        </w:rPr>
        <w:t>is</w:t>
      </w:r>
      <w:r w:rsidR="00621CCB" w:rsidRPr="001A221E">
        <w:rPr>
          <w:rFonts w:ascii="Arial" w:hAnsi="Arial" w:cs="Arial"/>
          <w:bCs/>
          <w:sz w:val="22"/>
          <w:szCs w:val="22"/>
        </w:rPr>
        <w:t xml:space="preserve"> </w:t>
      </w:r>
      <w:proofErr w:type="gramStart"/>
      <w:r w:rsidR="00621CCB" w:rsidRPr="001A221E">
        <w:rPr>
          <w:rFonts w:ascii="Arial" w:hAnsi="Arial" w:cs="Arial"/>
          <w:bCs/>
          <w:sz w:val="22"/>
          <w:szCs w:val="22"/>
        </w:rPr>
        <w:t>an</w:t>
      </w:r>
      <w:r w:rsidR="00501574" w:rsidRPr="001A221E">
        <w:rPr>
          <w:rFonts w:ascii="Arial" w:hAnsi="Arial" w:cs="Arial"/>
          <w:bCs/>
          <w:sz w:val="22"/>
          <w:szCs w:val="22"/>
        </w:rPr>
        <w:t xml:space="preserve"> </w:t>
      </w:r>
      <w:r w:rsidR="00154AB4" w:rsidRPr="001A221E">
        <w:rPr>
          <w:rFonts w:ascii="Arial" w:hAnsi="Arial" w:cs="Arial"/>
          <w:bCs/>
          <w:sz w:val="22"/>
          <w:szCs w:val="22"/>
        </w:rPr>
        <w:t>overspend</w:t>
      </w:r>
      <w:proofErr w:type="gramEnd"/>
      <w:r w:rsidR="00154AB4" w:rsidRPr="001A221E">
        <w:rPr>
          <w:rFonts w:ascii="Arial" w:hAnsi="Arial" w:cs="Arial"/>
          <w:bCs/>
          <w:sz w:val="22"/>
          <w:szCs w:val="22"/>
        </w:rPr>
        <w:t xml:space="preserve"> of £0.5</w:t>
      </w:r>
      <w:r w:rsidR="0086220E" w:rsidRPr="001A221E">
        <w:rPr>
          <w:rFonts w:ascii="Arial" w:hAnsi="Arial" w:cs="Arial"/>
          <w:bCs/>
          <w:sz w:val="22"/>
          <w:szCs w:val="22"/>
        </w:rPr>
        <w:t>49</w:t>
      </w:r>
      <w:r w:rsidR="00621CCB" w:rsidRPr="001A221E">
        <w:rPr>
          <w:rFonts w:ascii="Arial" w:hAnsi="Arial" w:cs="Arial"/>
          <w:bCs/>
          <w:sz w:val="22"/>
          <w:szCs w:val="22"/>
        </w:rPr>
        <w:t xml:space="preserve">m </w:t>
      </w:r>
      <w:r w:rsidR="00170D1C" w:rsidRPr="001A221E">
        <w:rPr>
          <w:rFonts w:ascii="Arial" w:hAnsi="Arial" w:cs="Arial"/>
          <w:bCs/>
          <w:sz w:val="22"/>
          <w:szCs w:val="22"/>
        </w:rPr>
        <w:t>for the financial year.</w:t>
      </w:r>
    </w:p>
    <w:p w:rsidR="001D24E1" w:rsidRPr="00EC53BC" w:rsidRDefault="001D24E1" w:rsidP="00E73641">
      <w:pPr>
        <w:rPr>
          <w:rFonts w:ascii="Arial" w:hAnsi="Arial" w:cs="Arial"/>
          <w:bCs/>
          <w:sz w:val="22"/>
          <w:szCs w:val="22"/>
          <w:highlight w:val="yellow"/>
        </w:rPr>
      </w:pPr>
    </w:p>
    <w:p w:rsidR="002747FF" w:rsidRPr="00154AB4" w:rsidRDefault="002747FF" w:rsidP="00E73641">
      <w:pPr>
        <w:rPr>
          <w:rFonts w:ascii="Arial" w:hAnsi="Arial" w:cs="Arial"/>
          <w:bCs/>
          <w:sz w:val="22"/>
          <w:szCs w:val="22"/>
        </w:rPr>
      </w:pPr>
    </w:p>
    <w:p w:rsidR="001D24E1" w:rsidRPr="00154AB4" w:rsidRDefault="00E73641" w:rsidP="001D24E1">
      <w:pPr>
        <w:ind w:left="567"/>
        <w:rPr>
          <w:rFonts w:ascii="Arial" w:hAnsi="Arial" w:cs="Arial"/>
          <w:b/>
          <w:sz w:val="20"/>
          <w:szCs w:val="20"/>
        </w:rPr>
      </w:pPr>
      <w:r w:rsidRPr="00154AB4">
        <w:rPr>
          <w:rFonts w:ascii="Arial" w:hAnsi="Arial" w:cs="Arial"/>
          <w:b/>
          <w:sz w:val="20"/>
          <w:szCs w:val="20"/>
        </w:rPr>
        <w:t>St Helens &amp; Knowsley Teaching NHS Trust</w:t>
      </w:r>
    </w:p>
    <w:p w:rsidR="001D24E1" w:rsidRPr="00154AB4" w:rsidRDefault="001D24E1" w:rsidP="001D24E1">
      <w:pPr>
        <w:ind w:left="567"/>
        <w:rPr>
          <w:rFonts w:ascii="Arial" w:hAnsi="Arial" w:cs="Arial"/>
          <w:bCs/>
          <w:sz w:val="22"/>
          <w:szCs w:val="22"/>
        </w:rPr>
      </w:pPr>
    </w:p>
    <w:p w:rsidR="001D24E1" w:rsidRPr="00DF3656" w:rsidRDefault="00E73641" w:rsidP="00B20E8E">
      <w:pPr>
        <w:ind w:left="567"/>
        <w:jc w:val="both"/>
        <w:rPr>
          <w:rFonts w:ascii="Arial" w:hAnsi="Arial" w:cs="Arial"/>
          <w:bCs/>
          <w:sz w:val="22"/>
          <w:szCs w:val="22"/>
        </w:rPr>
      </w:pPr>
      <w:r w:rsidRPr="00DF3656">
        <w:rPr>
          <w:rFonts w:ascii="Arial" w:hAnsi="Arial" w:cs="Arial"/>
          <w:bCs/>
          <w:sz w:val="22"/>
          <w:szCs w:val="22"/>
        </w:rPr>
        <w:t>The</w:t>
      </w:r>
      <w:r w:rsidR="00891E04" w:rsidRPr="00DF3656">
        <w:rPr>
          <w:rFonts w:ascii="Arial" w:hAnsi="Arial" w:cs="Arial"/>
          <w:bCs/>
          <w:sz w:val="22"/>
          <w:szCs w:val="22"/>
        </w:rPr>
        <w:t xml:space="preserve"> </w:t>
      </w:r>
      <w:r w:rsidR="00704DE4" w:rsidRPr="00DF3656">
        <w:rPr>
          <w:rFonts w:ascii="Arial" w:hAnsi="Arial" w:cs="Arial"/>
          <w:bCs/>
          <w:sz w:val="22"/>
          <w:szCs w:val="22"/>
        </w:rPr>
        <w:t xml:space="preserve">YTD </w:t>
      </w:r>
      <w:r w:rsidR="00154AB4" w:rsidRPr="00DF3656">
        <w:rPr>
          <w:rFonts w:ascii="Arial" w:hAnsi="Arial" w:cs="Arial"/>
          <w:bCs/>
          <w:sz w:val="22"/>
          <w:szCs w:val="22"/>
        </w:rPr>
        <w:t>£0.132</w:t>
      </w:r>
      <w:r w:rsidR="003B778A" w:rsidRPr="00DF3656">
        <w:rPr>
          <w:rFonts w:ascii="Arial" w:hAnsi="Arial" w:cs="Arial"/>
          <w:bCs/>
          <w:sz w:val="22"/>
          <w:szCs w:val="22"/>
        </w:rPr>
        <w:t xml:space="preserve">m </w:t>
      </w:r>
      <w:proofErr w:type="gramStart"/>
      <w:r w:rsidR="003B778A" w:rsidRPr="00DF3656">
        <w:rPr>
          <w:rFonts w:ascii="Arial" w:hAnsi="Arial" w:cs="Arial"/>
          <w:bCs/>
          <w:sz w:val="22"/>
          <w:szCs w:val="22"/>
        </w:rPr>
        <w:t>overspend</w:t>
      </w:r>
      <w:proofErr w:type="gramEnd"/>
      <w:r w:rsidR="007B368B" w:rsidRPr="00DF3656">
        <w:rPr>
          <w:rFonts w:ascii="Arial" w:hAnsi="Arial" w:cs="Arial"/>
          <w:bCs/>
          <w:sz w:val="22"/>
          <w:szCs w:val="22"/>
        </w:rPr>
        <w:t xml:space="preserve"> </w:t>
      </w:r>
      <w:r w:rsidR="00B20E8E" w:rsidRPr="00DF3656">
        <w:rPr>
          <w:rFonts w:ascii="Arial" w:hAnsi="Arial" w:cs="Arial"/>
          <w:bCs/>
          <w:sz w:val="22"/>
          <w:szCs w:val="22"/>
        </w:rPr>
        <w:t xml:space="preserve">at Month </w:t>
      </w:r>
      <w:r w:rsidR="00154AB4" w:rsidRPr="00DF3656">
        <w:rPr>
          <w:rFonts w:ascii="Arial" w:hAnsi="Arial" w:cs="Arial"/>
          <w:bCs/>
          <w:sz w:val="22"/>
          <w:szCs w:val="22"/>
        </w:rPr>
        <w:t>10</w:t>
      </w:r>
      <w:r w:rsidR="004E0908" w:rsidRPr="00DF3656">
        <w:rPr>
          <w:rFonts w:ascii="Arial" w:hAnsi="Arial" w:cs="Arial"/>
          <w:bCs/>
          <w:sz w:val="22"/>
          <w:szCs w:val="22"/>
        </w:rPr>
        <w:t xml:space="preserve"> </w:t>
      </w:r>
      <w:r w:rsidRPr="00DF3656">
        <w:rPr>
          <w:rFonts w:ascii="Arial" w:hAnsi="Arial" w:cs="Arial"/>
          <w:bCs/>
          <w:sz w:val="22"/>
          <w:szCs w:val="22"/>
        </w:rPr>
        <w:t>includes a £</w:t>
      </w:r>
      <w:r w:rsidR="00DF3656" w:rsidRPr="00DF3656">
        <w:rPr>
          <w:rFonts w:ascii="Arial" w:hAnsi="Arial" w:cs="Arial"/>
          <w:bCs/>
          <w:sz w:val="22"/>
          <w:szCs w:val="22"/>
        </w:rPr>
        <w:t>0.115</w:t>
      </w:r>
      <w:r w:rsidRPr="00DF3656">
        <w:rPr>
          <w:rFonts w:ascii="Arial" w:hAnsi="Arial" w:cs="Arial"/>
          <w:bCs/>
          <w:sz w:val="22"/>
          <w:szCs w:val="22"/>
        </w:rPr>
        <w:t xml:space="preserve">m pressure </w:t>
      </w:r>
      <w:r w:rsidR="00BD41F8" w:rsidRPr="00DF3656">
        <w:rPr>
          <w:rFonts w:ascii="Arial" w:hAnsi="Arial" w:cs="Arial"/>
          <w:bCs/>
          <w:sz w:val="22"/>
          <w:szCs w:val="22"/>
        </w:rPr>
        <w:t>relating to</w:t>
      </w:r>
      <w:r w:rsidRPr="00DF3656">
        <w:rPr>
          <w:rFonts w:ascii="Arial" w:hAnsi="Arial" w:cs="Arial"/>
          <w:bCs/>
          <w:sz w:val="22"/>
          <w:szCs w:val="22"/>
        </w:rPr>
        <w:t xml:space="preserve"> </w:t>
      </w:r>
      <w:r w:rsidR="00AA60FE" w:rsidRPr="00DF3656">
        <w:rPr>
          <w:rFonts w:ascii="Arial" w:hAnsi="Arial" w:cs="Arial"/>
          <w:bCs/>
          <w:sz w:val="22"/>
          <w:szCs w:val="22"/>
        </w:rPr>
        <w:t>Plastic Surgery</w:t>
      </w:r>
      <w:r w:rsidR="00EF1E29" w:rsidRPr="00DF3656">
        <w:rPr>
          <w:rFonts w:ascii="Arial" w:hAnsi="Arial" w:cs="Arial"/>
          <w:bCs/>
          <w:sz w:val="22"/>
          <w:szCs w:val="22"/>
        </w:rPr>
        <w:t xml:space="preserve">. The </w:t>
      </w:r>
      <w:r w:rsidR="00317E53" w:rsidRPr="00DF3656">
        <w:rPr>
          <w:rFonts w:ascii="Arial" w:hAnsi="Arial" w:cs="Arial"/>
          <w:bCs/>
          <w:sz w:val="22"/>
          <w:szCs w:val="22"/>
        </w:rPr>
        <w:t xml:space="preserve">year </w:t>
      </w:r>
      <w:r w:rsidRPr="00DF3656">
        <w:rPr>
          <w:rFonts w:ascii="Arial" w:hAnsi="Arial" w:cs="Arial"/>
          <w:bCs/>
          <w:sz w:val="22"/>
          <w:szCs w:val="22"/>
        </w:rPr>
        <w:t>to</w:t>
      </w:r>
      <w:r w:rsidR="00317E53" w:rsidRPr="00DF3656">
        <w:rPr>
          <w:rFonts w:ascii="Arial" w:hAnsi="Arial" w:cs="Arial"/>
          <w:bCs/>
          <w:sz w:val="22"/>
          <w:szCs w:val="22"/>
        </w:rPr>
        <w:t xml:space="preserve"> </w:t>
      </w:r>
      <w:r w:rsidRPr="00DF3656">
        <w:rPr>
          <w:rFonts w:ascii="Arial" w:hAnsi="Arial" w:cs="Arial"/>
          <w:bCs/>
          <w:sz w:val="22"/>
          <w:szCs w:val="22"/>
        </w:rPr>
        <w:t>date position of the 2016/17 contract</w:t>
      </w:r>
      <w:r w:rsidR="00AA60FE" w:rsidRPr="00DF3656">
        <w:rPr>
          <w:rFonts w:ascii="Arial" w:hAnsi="Arial" w:cs="Arial"/>
          <w:bCs/>
          <w:sz w:val="22"/>
          <w:szCs w:val="22"/>
        </w:rPr>
        <w:t xml:space="preserve"> also</w:t>
      </w:r>
      <w:r w:rsidRPr="00DF3656">
        <w:rPr>
          <w:rFonts w:ascii="Arial" w:hAnsi="Arial" w:cs="Arial"/>
          <w:bCs/>
          <w:sz w:val="22"/>
          <w:szCs w:val="22"/>
        </w:rPr>
        <w:t xml:space="preserve"> highlights a £0.0</w:t>
      </w:r>
      <w:r w:rsidR="000A3FDE" w:rsidRPr="00DF3656">
        <w:rPr>
          <w:rFonts w:ascii="Arial" w:hAnsi="Arial" w:cs="Arial"/>
          <w:bCs/>
          <w:sz w:val="22"/>
          <w:szCs w:val="22"/>
        </w:rPr>
        <w:t>4</w:t>
      </w:r>
      <w:r w:rsidRPr="00DF3656">
        <w:rPr>
          <w:rFonts w:ascii="Arial" w:hAnsi="Arial" w:cs="Arial"/>
          <w:bCs/>
          <w:sz w:val="22"/>
          <w:szCs w:val="22"/>
        </w:rPr>
        <w:t>5</w:t>
      </w:r>
      <w:r w:rsidR="00BD41F8" w:rsidRPr="00DF3656">
        <w:rPr>
          <w:rFonts w:ascii="Arial" w:hAnsi="Arial" w:cs="Arial"/>
          <w:bCs/>
          <w:sz w:val="22"/>
          <w:szCs w:val="22"/>
        </w:rPr>
        <w:t>m over</w:t>
      </w:r>
      <w:r w:rsidRPr="00DF3656">
        <w:rPr>
          <w:rFonts w:ascii="Arial" w:hAnsi="Arial" w:cs="Arial"/>
          <w:bCs/>
          <w:sz w:val="22"/>
          <w:szCs w:val="22"/>
        </w:rPr>
        <w:t>spend</w:t>
      </w:r>
      <w:r w:rsidR="000A3FDE" w:rsidRPr="00DF3656">
        <w:rPr>
          <w:rFonts w:ascii="Arial" w:hAnsi="Arial" w:cs="Arial"/>
          <w:bCs/>
          <w:sz w:val="22"/>
          <w:szCs w:val="22"/>
        </w:rPr>
        <w:t xml:space="preserve"> due to 2015/16 over performance</w:t>
      </w:r>
      <w:r w:rsidRPr="00DF3656">
        <w:rPr>
          <w:rFonts w:ascii="Arial" w:hAnsi="Arial" w:cs="Arial"/>
          <w:bCs/>
          <w:sz w:val="22"/>
          <w:szCs w:val="22"/>
        </w:rPr>
        <w:t xml:space="preserve">, </w:t>
      </w:r>
      <w:r w:rsidR="000A3FDE" w:rsidRPr="00DF3656">
        <w:rPr>
          <w:rFonts w:ascii="Arial" w:hAnsi="Arial" w:cs="Arial"/>
          <w:bCs/>
          <w:sz w:val="22"/>
          <w:szCs w:val="22"/>
        </w:rPr>
        <w:t xml:space="preserve">as well an </w:t>
      </w:r>
      <w:r w:rsidRPr="00DF3656">
        <w:rPr>
          <w:rFonts w:ascii="Arial" w:hAnsi="Arial" w:cs="Arial"/>
          <w:bCs/>
          <w:sz w:val="22"/>
          <w:szCs w:val="22"/>
        </w:rPr>
        <w:t xml:space="preserve">over performance caused by </w:t>
      </w:r>
      <w:r w:rsidR="00DF3656" w:rsidRPr="00DF3656">
        <w:rPr>
          <w:rFonts w:ascii="Arial" w:hAnsi="Arial" w:cs="Arial"/>
          <w:bCs/>
          <w:sz w:val="22"/>
          <w:szCs w:val="22"/>
        </w:rPr>
        <w:t>T&amp;O</w:t>
      </w:r>
      <w:r w:rsidR="000A3FDE" w:rsidRPr="00DF3656">
        <w:rPr>
          <w:rFonts w:ascii="Arial" w:hAnsi="Arial" w:cs="Arial"/>
          <w:bCs/>
          <w:sz w:val="22"/>
          <w:szCs w:val="22"/>
        </w:rPr>
        <w:t xml:space="preserve"> </w:t>
      </w:r>
      <w:r w:rsidRPr="00DF3656">
        <w:rPr>
          <w:rFonts w:ascii="Arial" w:hAnsi="Arial" w:cs="Arial"/>
          <w:bCs/>
          <w:sz w:val="22"/>
          <w:szCs w:val="22"/>
        </w:rPr>
        <w:t xml:space="preserve">which has an adverse </w:t>
      </w:r>
      <w:r w:rsidR="00317E53" w:rsidRPr="00DF3656">
        <w:rPr>
          <w:rFonts w:ascii="Arial" w:hAnsi="Arial" w:cs="Arial"/>
          <w:bCs/>
          <w:sz w:val="22"/>
          <w:szCs w:val="22"/>
        </w:rPr>
        <w:t xml:space="preserve">year to </w:t>
      </w:r>
      <w:r w:rsidR="00BD41F8" w:rsidRPr="00DF3656">
        <w:rPr>
          <w:rFonts w:ascii="Arial" w:hAnsi="Arial" w:cs="Arial"/>
          <w:bCs/>
          <w:sz w:val="22"/>
          <w:szCs w:val="22"/>
        </w:rPr>
        <w:t>date</w:t>
      </w:r>
      <w:r w:rsidR="00F35F8C" w:rsidRPr="00DF3656">
        <w:rPr>
          <w:rFonts w:ascii="Arial" w:hAnsi="Arial" w:cs="Arial"/>
          <w:bCs/>
          <w:sz w:val="22"/>
          <w:szCs w:val="22"/>
        </w:rPr>
        <w:t xml:space="preserve"> pr</w:t>
      </w:r>
      <w:r w:rsidR="001E00C1" w:rsidRPr="00DF3656">
        <w:rPr>
          <w:rFonts w:ascii="Arial" w:hAnsi="Arial" w:cs="Arial"/>
          <w:bCs/>
          <w:sz w:val="22"/>
          <w:szCs w:val="22"/>
        </w:rPr>
        <w:t>essure of £0.0</w:t>
      </w:r>
      <w:r w:rsidR="00DF3656" w:rsidRPr="00DF3656">
        <w:rPr>
          <w:rFonts w:ascii="Arial" w:hAnsi="Arial" w:cs="Arial"/>
          <w:bCs/>
          <w:sz w:val="22"/>
          <w:szCs w:val="22"/>
        </w:rPr>
        <w:t>23</w:t>
      </w:r>
      <w:r w:rsidRPr="00DF3656">
        <w:rPr>
          <w:rFonts w:ascii="Arial" w:hAnsi="Arial" w:cs="Arial"/>
          <w:bCs/>
          <w:sz w:val="22"/>
          <w:szCs w:val="22"/>
        </w:rPr>
        <w:t>m.</w:t>
      </w:r>
      <w:r w:rsidR="00501574" w:rsidRPr="00DF3656">
        <w:rPr>
          <w:rFonts w:ascii="Arial" w:hAnsi="Arial" w:cs="Arial"/>
          <w:bCs/>
          <w:sz w:val="22"/>
          <w:szCs w:val="22"/>
        </w:rPr>
        <w:t xml:space="preserve"> The forecast fo</w:t>
      </w:r>
      <w:r w:rsidR="00CC0C93" w:rsidRPr="00DF3656">
        <w:rPr>
          <w:rFonts w:ascii="Arial" w:hAnsi="Arial" w:cs="Arial"/>
          <w:bCs/>
          <w:sz w:val="22"/>
          <w:szCs w:val="22"/>
        </w:rPr>
        <w:t xml:space="preserve">r the financial year is </w:t>
      </w:r>
      <w:proofErr w:type="gramStart"/>
      <w:r w:rsidR="00CC0C93" w:rsidRPr="00DF3656">
        <w:rPr>
          <w:rFonts w:ascii="Arial" w:hAnsi="Arial" w:cs="Arial"/>
          <w:bCs/>
          <w:sz w:val="22"/>
          <w:szCs w:val="22"/>
        </w:rPr>
        <w:t>a</w:t>
      </w:r>
      <w:r w:rsidR="003B778A" w:rsidRPr="00DF3656">
        <w:rPr>
          <w:rFonts w:ascii="Arial" w:hAnsi="Arial" w:cs="Arial"/>
          <w:bCs/>
          <w:sz w:val="22"/>
          <w:szCs w:val="22"/>
        </w:rPr>
        <w:t>n overspend</w:t>
      </w:r>
      <w:proofErr w:type="gramEnd"/>
      <w:r w:rsidR="003B778A" w:rsidRPr="00DF3656">
        <w:rPr>
          <w:rFonts w:ascii="Arial" w:hAnsi="Arial" w:cs="Arial"/>
          <w:bCs/>
          <w:sz w:val="22"/>
          <w:szCs w:val="22"/>
        </w:rPr>
        <w:t xml:space="preserve"> of</w:t>
      </w:r>
      <w:r w:rsidR="00154AB4" w:rsidRPr="00DF3656">
        <w:rPr>
          <w:rFonts w:ascii="Arial" w:hAnsi="Arial" w:cs="Arial"/>
          <w:bCs/>
          <w:sz w:val="22"/>
          <w:szCs w:val="22"/>
        </w:rPr>
        <w:t xml:space="preserve"> £0.149</w:t>
      </w:r>
      <w:r w:rsidR="003B778A" w:rsidRPr="00DF3656">
        <w:rPr>
          <w:rFonts w:ascii="Arial" w:hAnsi="Arial" w:cs="Arial"/>
          <w:bCs/>
          <w:sz w:val="22"/>
          <w:szCs w:val="22"/>
        </w:rPr>
        <w:t>m.</w:t>
      </w:r>
    </w:p>
    <w:p w:rsidR="001D24E1" w:rsidRPr="0065294B" w:rsidRDefault="001D24E1" w:rsidP="002747FF">
      <w:pPr>
        <w:rPr>
          <w:rFonts w:ascii="Arial" w:hAnsi="Arial" w:cs="Arial"/>
          <w:b/>
          <w:sz w:val="20"/>
          <w:szCs w:val="22"/>
        </w:rPr>
      </w:pPr>
    </w:p>
    <w:p w:rsidR="001D24E1" w:rsidRPr="0065294B" w:rsidRDefault="001D24E1" w:rsidP="001D24E1">
      <w:pPr>
        <w:ind w:left="567"/>
        <w:rPr>
          <w:rFonts w:ascii="Arial" w:hAnsi="Arial" w:cs="Arial"/>
          <w:sz w:val="20"/>
          <w:szCs w:val="20"/>
        </w:rPr>
      </w:pPr>
      <w:r w:rsidRPr="0065294B">
        <w:rPr>
          <w:rFonts w:ascii="Arial" w:hAnsi="Arial" w:cs="Arial"/>
          <w:b/>
          <w:sz w:val="20"/>
          <w:szCs w:val="20"/>
        </w:rPr>
        <w:t>Southport &amp; Ormskirk Hospital Trust</w:t>
      </w:r>
    </w:p>
    <w:p w:rsidR="001D24E1" w:rsidRPr="0065294B" w:rsidRDefault="001D24E1" w:rsidP="001D24E1">
      <w:pPr>
        <w:ind w:left="567"/>
        <w:rPr>
          <w:rFonts w:ascii="Arial" w:hAnsi="Arial" w:cs="Arial"/>
          <w:b/>
          <w:sz w:val="22"/>
          <w:szCs w:val="22"/>
        </w:rPr>
      </w:pPr>
    </w:p>
    <w:p w:rsidR="001D24E1" w:rsidRPr="00433D7C" w:rsidRDefault="001D24E1" w:rsidP="00B20E8E">
      <w:pPr>
        <w:ind w:left="567"/>
        <w:jc w:val="both"/>
        <w:rPr>
          <w:rFonts w:ascii="Arial" w:hAnsi="Arial" w:cs="Arial"/>
          <w:sz w:val="22"/>
          <w:szCs w:val="22"/>
        </w:rPr>
      </w:pPr>
      <w:r w:rsidRPr="00433D7C">
        <w:rPr>
          <w:rFonts w:ascii="Arial" w:hAnsi="Arial" w:cs="Arial"/>
          <w:sz w:val="22"/>
          <w:szCs w:val="22"/>
        </w:rPr>
        <w:t xml:space="preserve">The </w:t>
      </w:r>
      <w:r w:rsidR="00A70E95" w:rsidRPr="00433D7C">
        <w:rPr>
          <w:rFonts w:ascii="Arial" w:hAnsi="Arial" w:cs="Arial"/>
          <w:sz w:val="22"/>
          <w:szCs w:val="22"/>
        </w:rPr>
        <w:t>variance for Southpo</w:t>
      </w:r>
      <w:r w:rsidR="00317E53" w:rsidRPr="00433D7C">
        <w:rPr>
          <w:rFonts w:ascii="Arial" w:hAnsi="Arial" w:cs="Arial"/>
          <w:sz w:val="22"/>
          <w:szCs w:val="22"/>
        </w:rPr>
        <w:t>rt</w:t>
      </w:r>
      <w:r w:rsidR="00154AB4" w:rsidRPr="00433D7C">
        <w:rPr>
          <w:rFonts w:ascii="Arial" w:hAnsi="Arial" w:cs="Arial"/>
          <w:sz w:val="22"/>
          <w:szCs w:val="22"/>
        </w:rPr>
        <w:t xml:space="preserve"> &amp; Ormskirk Hospital </w:t>
      </w:r>
      <w:proofErr w:type="gramStart"/>
      <w:r w:rsidR="00154AB4" w:rsidRPr="00433D7C">
        <w:rPr>
          <w:rFonts w:ascii="Arial" w:hAnsi="Arial" w:cs="Arial"/>
          <w:sz w:val="22"/>
          <w:szCs w:val="22"/>
        </w:rPr>
        <w:t>is a £0.293</w:t>
      </w:r>
      <w:r w:rsidR="00A70E95" w:rsidRPr="00433D7C">
        <w:rPr>
          <w:rFonts w:ascii="Arial" w:hAnsi="Arial" w:cs="Arial"/>
          <w:sz w:val="22"/>
          <w:szCs w:val="22"/>
        </w:rPr>
        <w:t>m underspen</w:t>
      </w:r>
      <w:r w:rsidR="00317E53" w:rsidRPr="00433D7C">
        <w:rPr>
          <w:rFonts w:ascii="Arial" w:hAnsi="Arial" w:cs="Arial"/>
          <w:sz w:val="22"/>
          <w:szCs w:val="22"/>
        </w:rPr>
        <w:t>d</w:t>
      </w:r>
      <w:proofErr w:type="gramEnd"/>
      <w:r w:rsidR="00A70E95" w:rsidRPr="00433D7C">
        <w:rPr>
          <w:rFonts w:ascii="Arial" w:hAnsi="Arial" w:cs="Arial"/>
          <w:sz w:val="22"/>
          <w:szCs w:val="22"/>
        </w:rPr>
        <w:t xml:space="preserve"> at Month </w:t>
      </w:r>
      <w:r w:rsidR="00154AB4" w:rsidRPr="00433D7C">
        <w:rPr>
          <w:rFonts w:ascii="Arial" w:hAnsi="Arial" w:cs="Arial"/>
          <w:sz w:val="22"/>
          <w:szCs w:val="22"/>
        </w:rPr>
        <w:t>10</w:t>
      </w:r>
      <w:r w:rsidR="00A70E95" w:rsidRPr="00433D7C">
        <w:rPr>
          <w:rFonts w:ascii="Arial" w:hAnsi="Arial" w:cs="Arial"/>
          <w:sz w:val="22"/>
          <w:szCs w:val="22"/>
        </w:rPr>
        <w:t xml:space="preserve"> w</w:t>
      </w:r>
      <w:r w:rsidR="00BE2F23" w:rsidRPr="00433D7C">
        <w:rPr>
          <w:rFonts w:ascii="Arial" w:hAnsi="Arial" w:cs="Arial"/>
          <w:sz w:val="22"/>
          <w:szCs w:val="22"/>
        </w:rPr>
        <w:t xml:space="preserve">ith a </w:t>
      </w:r>
      <w:r w:rsidR="00501574" w:rsidRPr="00433D7C">
        <w:rPr>
          <w:rFonts w:ascii="Arial" w:hAnsi="Arial" w:cs="Arial"/>
          <w:sz w:val="22"/>
          <w:szCs w:val="22"/>
        </w:rPr>
        <w:t>year-end</w:t>
      </w:r>
      <w:r w:rsidR="00154AB4" w:rsidRPr="00433D7C">
        <w:rPr>
          <w:rFonts w:ascii="Arial" w:hAnsi="Arial" w:cs="Arial"/>
          <w:sz w:val="22"/>
          <w:szCs w:val="22"/>
        </w:rPr>
        <w:t xml:space="preserve"> forecast of a £0.352</w:t>
      </w:r>
      <w:r w:rsidR="00D244BE" w:rsidRPr="00433D7C">
        <w:rPr>
          <w:rFonts w:ascii="Arial" w:hAnsi="Arial" w:cs="Arial"/>
          <w:sz w:val="22"/>
          <w:szCs w:val="22"/>
        </w:rPr>
        <w:t>m underspend</w:t>
      </w:r>
      <w:r w:rsidR="00B20E8E" w:rsidRPr="00433D7C">
        <w:rPr>
          <w:rFonts w:ascii="Arial" w:hAnsi="Arial" w:cs="Arial"/>
          <w:sz w:val="22"/>
          <w:szCs w:val="22"/>
        </w:rPr>
        <w:t>.</w:t>
      </w:r>
      <w:r w:rsidR="00A70E95" w:rsidRPr="00433D7C">
        <w:rPr>
          <w:rFonts w:ascii="Arial" w:hAnsi="Arial" w:cs="Arial"/>
          <w:sz w:val="22"/>
          <w:szCs w:val="22"/>
        </w:rPr>
        <w:t xml:space="preserve"> </w:t>
      </w:r>
      <w:r w:rsidR="001E00C1" w:rsidRPr="00433D7C">
        <w:rPr>
          <w:rFonts w:ascii="Arial" w:hAnsi="Arial" w:cs="Arial"/>
          <w:sz w:val="22"/>
          <w:szCs w:val="22"/>
        </w:rPr>
        <w:t>There is a £0.</w:t>
      </w:r>
      <w:r w:rsidR="0065294B" w:rsidRPr="00433D7C">
        <w:rPr>
          <w:rFonts w:ascii="Arial" w:hAnsi="Arial" w:cs="Arial"/>
          <w:sz w:val="22"/>
          <w:szCs w:val="22"/>
        </w:rPr>
        <w:t>210</w:t>
      </w:r>
      <w:r w:rsidR="00317E53" w:rsidRPr="00433D7C">
        <w:rPr>
          <w:rFonts w:ascii="Arial" w:hAnsi="Arial" w:cs="Arial"/>
          <w:sz w:val="22"/>
          <w:szCs w:val="22"/>
        </w:rPr>
        <w:t xml:space="preserve">m year to </w:t>
      </w:r>
      <w:r w:rsidR="001E00C1" w:rsidRPr="00433D7C">
        <w:rPr>
          <w:rFonts w:ascii="Arial" w:hAnsi="Arial" w:cs="Arial"/>
          <w:sz w:val="22"/>
          <w:szCs w:val="22"/>
        </w:rPr>
        <w:t>date underspend against</w:t>
      </w:r>
      <w:r w:rsidRPr="00433D7C">
        <w:rPr>
          <w:rFonts w:ascii="Arial" w:hAnsi="Arial" w:cs="Arial"/>
          <w:sz w:val="22"/>
          <w:szCs w:val="22"/>
        </w:rPr>
        <w:t xml:space="preserve"> Trauma &amp; Orthopa</w:t>
      </w:r>
      <w:r w:rsidR="001E00C1" w:rsidRPr="00433D7C">
        <w:rPr>
          <w:rFonts w:ascii="Arial" w:hAnsi="Arial" w:cs="Arial"/>
          <w:sz w:val="22"/>
          <w:szCs w:val="22"/>
        </w:rPr>
        <w:t xml:space="preserve">edics, as well as underspends in </w:t>
      </w:r>
      <w:r w:rsidR="0065294B" w:rsidRPr="00433D7C">
        <w:rPr>
          <w:rFonts w:ascii="Arial" w:hAnsi="Arial" w:cs="Arial"/>
          <w:sz w:val="22"/>
          <w:szCs w:val="22"/>
        </w:rPr>
        <w:t>Obstetrics and A&amp;E of £0.126</w:t>
      </w:r>
      <w:r w:rsidR="001E00C1" w:rsidRPr="00433D7C">
        <w:rPr>
          <w:rFonts w:ascii="Arial" w:hAnsi="Arial" w:cs="Arial"/>
          <w:sz w:val="22"/>
          <w:szCs w:val="22"/>
        </w:rPr>
        <w:t>m and £0.0</w:t>
      </w:r>
      <w:r w:rsidR="0065294B" w:rsidRPr="00433D7C">
        <w:rPr>
          <w:rFonts w:ascii="Arial" w:hAnsi="Arial" w:cs="Arial"/>
          <w:sz w:val="22"/>
          <w:szCs w:val="22"/>
        </w:rPr>
        <w:t>62</w:t>
      </w:r>
      <w:r w:rsidR="001E00C1" w:rsidRPr="00433D7C">
        <w:rPr>
          <w:rFonts w:ascii="Arial" w:hAnsi="Arial" w:cs="Arial"/>
          <w:sz w:val="22"/>
          <w:szCs w:val="22"/>
        </w:rPr>
        <w:t>m respectively. These are</w:t>
      </w:r>
      <w:r w:rsidR="00B20E8E" w:rsidRPr="00433D7C">
        <w:rPr>
          <w:rFonts w:ascii="Arial" w:hAnsi="Arial" w:cs="Arial"/>
          <w:sz w:val="22"/>
          <w:szCs w:val="22"/>
        </w:rPr>
        <w:t xml:space="preserve"> offset by </w:t>
      </w:r>
      <w:proofErr w:type="gramStart"/>
      <w:r w:rsidR="00B20E8E" w:rsidRPr="00433D7C">
        <w:rPr>
          <w:rFonts w:ascii="Arial" w:hAnsi="Arial" w:cs="Arial"/>
          <w:sz w:val="22"/>
          <w:szCs w:val="22"/>
        </w:rPr>
        <w:t>an ov</w:t>
      </w:r>
      <w:r w:rsidR="0065294B" w:rsidRPr="00433D7C">
        <w:rPr>
          <w:rFonts w:ascii="Arial" w:hAnsi="Arial" w:cs="Arial"/>
          <w:sz w:val="22"/>
          <w:szCs w:val="22"/>
        </w:rPr>
        <w:t>erspend</w:t>
      </w:r>
      <w:proofErr w:type="gramEnd"/>
      <w:r w:rsidR="0065294B" w:rsidRPr="00433D7C">
        <w:rPr>
          <w:rFonts w:ascii="Arial" w:hAnsi="Arial" w:cs="Arial"/>
          <w:sz w:val="22"/>
          <w:szCs w:val="22"/>
        </w:rPr>
        <w:t xml:space="preserve"> of £0.136</w:t>
      </w:r>
      <w:r w:rsidR="009453D5" w:rsidRPr="00433D7C">
        <w:rPr>
          <w:rFonts w:ascii="Arial" w:hAnsi="Arial" w:cs="Arial"/>
          <w:sz w:val="22"/>
          <w:szCs w:val="22"/>
        </w:rPr>
        <w:t>m in General Medicine</w:t>
      </w:r>
      <w:r w:rsidRPr="00433D7C">
        <w:rPr>
          <w:rFonts w:ascii="Arial" w:hAnsi="Arial" w:cs="Arial"/>
          <w:sz w:val="22"/>
          <w:szCs w:val="22"/>
        </w:rPr>
        <w:t>.</w:t>
      </w:r>
      <w:r w:rsidR="003F4A6E" w:rsidRPr="00433D7C">
        <w:rPr>
          <w:rFonts w:ascii="Arial" w:hAnsi="Arial" w:cs="Arial"/>
          <w:sz w:val="22"/>
          <w:szCs w:val="22"/>
        </w:rPr>
        <w:t xml:space="preserve"> This is shown in the three graphs below.</w:t>
      </w:r>
    </w:p>
    <w:p w:rsidR="002747FF" w:rsidRPr="00433D7C" w:rsidRDefault="002747FF" w:rsidP="003F4A6E">
      <w:pPr>
        <w:rPr>
          <w:rFonts w:ascii="Arial" w:hAnsi="Arial" w:cs="Arial"/>
          <w:sz w:val="22"/>
          <w:szCs w:val="22"/>
        </w:rPr>
      </w:pPr>
    </w:p>
    <w:p w:rsidR="00347E16" w:rsidRPr="00433D7C" w:rsidRDefault="00347E16" w:rsidP="003F4A6E">
      <w:pPr>
        <w:rPr>
          <w:rFonts w:ascii="Arial" w:hAnsi="Arial" w:cs="Arial"/>
          <w:sz w:val="22"/>
          <w:szCs w:val="22"/>
        </w:rPr>
      </w:pPr>
    </w:p>
    <w:p w:rsidR="001C6619" w:rsidRPr="00433D7C" w:rsidRDefault="001C6619" w:rsidP="001D24E1">
      <w:pPr>
        <w:ind w:left="567"/>
        <w:rPr>
          <w:rFonts w:ascii="Arial" w:hAnsi="Arial" w:cs="Arial"/>
          <w:b/>
          <w:sz w:val="22"/>
          <w:szCs w:val="22"/>
        </w:rPr>
      </w:pPr>
      <w:r w:rsidRPr="00433D7C">
        <w:rPr>
          <w:rFonts w:ascii="Arial" w:hAnsi="Arial" w:cs="Arial"/>
          <w:b/>
          <w:sz w:val="22"/>
          <w:szCs w:val="22"/>
        </w:rPr>
        <w:t>Graph 2</w:t>
      </w:r>
      <w:r w:rsidRPr="00433D7C">
        <w:rPr>
          <w:rFonts w:ascii="Arial" w:hAnsi="Arial" w:cs="Arial"/>
          <w:b/>
          <w:sz w:val="22"/>
          <w:szCs w:val="22"/>
        </w:rPr>
        <w:tab/>
      </w:r>
      <w:r w:rsidRPr="00433D7C">
        <w:rPr>
          <w:rFonts w:ascii="Arial" w:hAnsi="Arial" w:cs="Arial"/>
          <w:sz w:val="22"/>
          <w:szCs w:val="22"/>
        </w:rPr>
        <w:tab/>
      </w:r>
      <w:r w:rsidRPr="00433D7C">
        <w:rPr>
          <w:rFonts w:ascii="Arial" w:hAnsi="Arial" w:cs="Arial"/>
          <w:sz w:val="22"/>
          <w:szCs w:val="22"/>
        </w:rPr>
        <w:tab/>
      </w:r>
      <w:r w:rsidRPr="00433D7C">
        <w:rPr>
          <w:rFonts w:ascii="Arial" w:hAnsi="Arial" w:cs="Arial"/>
          <w:sz w:val="22"/>
          <w:szCs w:val="22"/>
        </w:rPr>
        <w:tab/>
      </w:r>
      <w:r w:rsidRPr="00433D7C">
        <w:rPr>
          <w:rFonts w:ascii="Arial" w:hAnsi="Arial" w:cs="Arial"/>
          <w:sz w:val="22"/>
          <w:szCs w:val="22"/>
        </w:rPr>
        <w:tab/>
      </w:r>
      <w:r w:rsidRPr="00433D7C">
        <w:rPr>
          <w:rFonts w:ascii="Arial" w:hAnsi="Arial" w:cs="Arial"/>
          <w:sz w:val="22"/>
          <w:szCs w:val="22"/>
        </w:rPr>
        <w:tab/>
      </w:r>
    </w:p>
    <w:p w:rsidR="00DA153A" w:rsidRPr="00433D7C" w:rsidRDefault="00433D7C" w:rsidP="003F4A6E">
      <w:pPr>
        <w:ind w:left="567"/>
        <w:rPr>
          <w:rFonts w:ascii="Arial" w:hAnsi="Arial" w:cs="Arial"/>
          <w:color w:val="FF0000"/>
          <w:sz w:val="22"/>
          <w:szCs w:val="22"/>
        </w:rPr>
      </w:pPr>
      <w:r w:rsidRPr="00433D7C">
        <w:rPr>
          <w:rFonts w:ascii="Arial" w:hAnsi="Arial" w:cs="Arial"/>
          <w:noProof/>
          <w:color w:val="FF0000"/>
          <w:sz w:val="22"/>
          <w:szCs w:val="22"/>
        </w:rPr>
        <w:drawing>
          <wp:inline distT="0" distB="0" distL="0" distR="0" wp14:anchorId="510790BC" wp14:editId="2A484FEB">
            <wp:extent cx="5024022" cy="25200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4022" cy="2520000"/>
                    </a:xfrm>
                    <a:prstGeom prst="rect">
                      <a:avLst/>
                    </a:prstGeom>
                    <a:noFill/>
                  </pic:spPr>
                </pic:pic>
              </a:graphicData>
            </a:graphic>
          </wp:inline>
        </w:drawing>
      </w:r>
    </w:p>
    <w:p w:rsidR="00DA153A" w:rsidRPr="00433D7C" w:rsidRDefault="00DA153A" w:rsidP="003F4A6E">
      <w:pPr>
        <w:ind w:left="567"/>
        <w:rPr>
          <w:rFonts w:ascii="Arial" w:hAnsi="Arial" w:cs="Arial"/>
          <w:color w:val="FF0000"/>
          <w:sz w:val="22"/>
          <w:szCs w:val="22"/>
        </w:rPr>
      </w:pPr>
    </w:p>
    <w:p w:rsidR="00DA153A" w:rsidRPr="00433D7C" w:rsidRDefault="00DA153A" w:rsidP="003F4A6E">
      <w:pPr>
        <w:ind w:left="567"/>
        <w:rPr>
          <w:rFonts w:ascii="Arial" w:hAnsi="Arial" w:cs="Arial"/>
          <w:b/>
          <w:sz w:val="22"/>
          <w:szCs w:val="22"/>
        </w:rPr>
      </w:pPr>
    </w:p>
    <w:p w:rsidR="00DA153A" w:rsidRPr="00433D7C" w:rsidRDefault="00DA153A" w:rsidP="00DA153A">
      <w:pPr>
        <w:rPr>
          <w:rFonts w:ascii="Arial" w:hAnsi="Arial" w:cs="Arial"/>
          <w:b/>
          <w:sz w:val="22"/>
          <w:szCs w:val="22"/>
        </w:rPr>
      </w:pPr>
    </w:p>
    <w:p w:rsidR="00DA153A" w:rsidRPr="00433D7C" w:rsidRDefault="00DA153A" w:rsidP="00DA153A">
      <w:pPr>
        <w:rPr>
          <w:rFonts w:ascii="Arial" w:hAnsi="Arial" w:cs="Arial"/>
          <w:b/>
          <w:sz w:val="22"/>
          <w:szCs w:val="22"/>
        </w:rPr>
      </w:pPr>
    </w:p>
    <w:p w:rsidR="00DA153A" w:rsidRPr="00433D7C" w:rsidRDefault="00DA153A" w:rsidP="003F4A6E">
      <w:pPr>
        <w:ind w:left="567"/>
        <w:rPr>
          <w:rFonts w:ascii="Arial" w:hAnsi="Arial" w:cs="Arial"/>
          <w:b/>
          <w:sz w:val="22"/>
          <w:szCs w:val="22"/>
        </w:rPr>
      </w:pPr>
    </w:p>
    <w:p w:rsidR="00347E16" w:rsidRPr="00433D7C" w:rsidRDefault="00347E16" w:rsidP="003F4A6E">
      <w:pPr>
        <w:ind w:left="567"/>
        <w:rPr>
          <w:rFonts w:ascii="Arial" w:hAnsi="Arial" w:cs="Arial"/>
          <w:b/>
          <w:sz w:val="22"/>
          <w:szCs w:val="22"/>
        </w:rPr>
      </w:pPr>
    </w:p>
    <w:p w:rsidR="00DA153A" w:rsidRPr="00433D7C" w:rsidRDefault="00DA153A" w:rsidP="003F4A6E">
      <w:pPr>
        <w:ind w:left="567"/>
        <w:rPr>
          <w:rFonts w:ascii="Arial" w:hAnsi="Arial" w:cs="Arial"/>
          <w:b/>
          <w:sz w:val="22"/>
          <w:szCs w:val="22"/>
        </w:rPr>
      </w:pPr>
    </w:p>
    <w:p w:rsidR="00053400" w:rsidRPr="00433D7C" w:rsidRDefault="00053400" w:rsidP="003F4A6E">
      <w:pPr>
        <w:ind w:left="567"/>
        <w:rPr>
          <w:rFonts w:ascii="Arial" w:hAnsi="Arial" w:cs="Arial"/>
          <w:b/>
          <w:sz w:val="22"/>
          <w:szCs w:val="22"/>
        </w:rPr>
      </w:pPr>
    </w:p>
    <w:p w:rsidR="007C7EF6" w:rsidRDefault="007C7EF6">
      <w:pPr>
        <w:rPr>
          <w:rFonts w:ascii="Arial" w:hAnsi="Arial" w:cs="Arial"/>
          <w:b/>
          <w:sz w:val="22"/>
          <w:szCs w:val="22"/>
        </w:rPr>
      </w:pPr>
      <w:r>
        <w:rPr>
          <w:rFonts w:ascii="Arial" w:hAnsi="Arial" w:cs="Arial"/>
          <w:b/>
          <w:sz w:val="22"/>
          <w:szCs w:val="22"/>
        </w:rPr>
        <w:br w:type="page"/>
      </w:r>
    </w:p>
    <w:p w:rsidR="00DA153A" w:rsidRPr="00433D7C" w:rsidRDefault="00DA153A" w:rsidP="003F4A6E">
      <w:pPr>
        <w:ind w:left="567"/>
        <w:rPr>
          <w:rFonts w:ascii="Arial" w:hAnsi="Arial" w:cs="Arial"/>
          <w:b/>
          <w:sz w:val="22"/>
          <w:szCs w:val="22"/>
        </w:rPr>
      </w:pPr>
      <w:r w:rsidRPr="00433D7C">
        <w:rPr>
          <w:rFonts w:ascii="Arial" w:hAnsi="Arial" w:cs="Arial"/>
          <w:b/>
          <w:sz w:val="22"/>
          <w:szCs w:val="22"/>
        </w:rPr>
        <w:lastRenderedPageBreak/>
        <w:t>Graph 3</w:t>
      </w:r>
    </w:p>
    <w:p w:rsidR="001A278F" w:rsidRPr="00433D7C" w:rsidRDefault="00433D7C" w:rsidP="003F4A6E">
      <w:pPr>
        <w:ind w:left="567"/>
        <w:rPr>
          <w:rFonts w:ascii="Arial" w:hAnsi="Arial" w:cs="Arial"/>
          <w:color w:val="FF0000"/>
          <w:sz w:val="22"/>
          <w:szCs w:val="22"/>
        </w:rPr>
      </w:pPr>
      <w:r w:rsidRPr="00433D7C">
        <w:rPr>
          <w:rFonts w:ascii="Arial" w:hAnsi="Arial" w:cs="Arial"/>
          <w:noProof/>
          <w:color w:val="FF0000"/>
          <w:sz w:val="22"/>
          <w:szCs w:val="22"/>
        </w:rPr>
        <w:drawing>
          <wp:inline distT="0" distB="0" distL="0" distR="0" wp14:anchorId="332EB91F" wp14:editId="2280B06E">
            <wp:extent cx="5024020" cy="25200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4020" cy="2520000"/>
                    </a:xfrm>
                    <a:prstGeom prst="rect">
                      <a:avLst/>
                    </a:prstGeom>
                    <a:noFill/>
                  </pic:spPr>
                </pic:pic>
              </a:graphicData>
            </a:graphic>
          </wp:inline>
        </w:drawing>
      </w:r>
    </w:p>
    <w:p w:rsidR="002747FF" w:rsidRPr="00433D7C" w:rsidRDefault="002747FF" w:rsidP="00A70E95">
      <w:pPr>
        <w:rPr>
          <w:rFonts w:ascii="Arial" w:hAnsi="Arial" w:cs="Arial"/>
          <w:color w:val="FF0000"/>
          <w:sz w:val="22"/>
          <w:szCs w:val="22"/>
        </w:rPr>
      </w:pPr>
    </w:p>
    <w:p w:rsidR="001C6619" w:rsidRPr="00433D7C" w:rsidRDefault="001C6619" w:rsidP="001D24E1">
      <w:pPr>
        <w:ind w:left="567"/>
        <w:rPr>
          <w:rFonts w:ascii="Arial" w:hAnsi="Arial" w:cs="Arial"/>
          <w:b/>
          <w:sz w:val="22"/>
          <w:szCs w:val="22"/>
        </w:rPr>
      </w:pPr>
      <w:r w:rsidRPr="00433D7C">
        <w:rPr>
          <w:rFonts w:ascii="Arial" w:hAnsi="Arial" w:cs="Arial"/>
          <w:b/>
          <w:sz w:val="22"/>
          <w:szCs w:val="22"/>
        </w:rPr>
        <w:t>Graph 4</w:t>
      </w:r>
    </w:p>
    <w:p w:rsidR="00942CBE" w:rsidRPr="00433D7C" w:rsidRDefault="00433D7C" w:rsidP="001D24E1">
      <w:pPr>
        <w:ind w:left="567"/>
        <w:rPr>
          <w:rFonts w:ascii="Arial" w:hAnsi="Arial" w:cs="Arial"/>
          <w:color w:val="FF0000"/>
          <w:sz w:val="22"/>
          <w:szCs w:val="22"/>
        </w:rPr>
      </w:pPr>
      <w:r w:rsidRPr="00433D7C">
        <w:rPr>
          <w:rFonts w:ascii="Arial" w:hAnsi="Arial" w:cs="Arial"/>
          <w:noProof/>
          <w:color w:val="FF0000"/>
          <w:sz w:val="22"/>
          <w:szCs w:val="22"/>
        </w:rPr>
        <w:drawing>
          <wp:inline distT="0" distB="0" distL="0" distR="0" wp14:anchorId="3DFD4174" wp14:editId="37C4E2A5">
            <wp:extent cx="5029730"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730" cy="2520000"/>
                    </a:xfrm>
                    <a:prstGeom prst="rect">
                      <a:avLst/>
                    </a:prstGeom>
                    <a:noFill/>
                  </pic:spPr>
                </pic:pic>
              </a:graphicData>
            </a:graphic>
          </wp:inline>
        </w:drawing>
      </w:r>
    </w:p>
    <w:p w:rsidR="00942CBE" w:rsidRPr="00433D7C" w:rsidRDefault="00942CBE" w:rsidP="001D24E1">
      <w:pPr>
        <w:ind w:left="567"/>
        <w:rPr>
          <w:rFonts w:ascii="Arial" w:hAnsi="Arial" w:cs="Arial"/>
          <w:color w:val="FF0000"/>
          <w:sz w:val="22"/>
          <w:szCs w:val="22"/>
        </w:rPr>
      </w:pPr>
    </w:p>
    <w:p w:rsidR="007C7EF6" w:rsidRDefault="00942CBE" w:rsidP="007C7EF6">
      <w:pPr>
        <w:ind w:firstLine="567"/>
        <w:rPr>
          <w:rFonts w:ascii="Arial" w:hAnsi="Arial" w:cs="Arial"/>
          <w:b/>
          <w:color w:val="FF0000"/>
          <w:sz w:val="22"/>
          <w:szCs w:val="22"/>
        </w:rPr>
      </w:pPr>
      <w:r w:rsidRPr="00433D7C">
        <w:rPr>
          <w:rFonts w:ascii="Arial" w:hAnsi="Arial" w:cs="Arial"/>
          <w:b/>
          <w:sz w:val="22"/>
          <w:szCs w:val="22"/>
        </w:rPr>
        <w:t>Graph 5</w:t>
      </w:r>
      <w:r w:rsidR="001C6619" w:rsidRPr="00433D7C">
        <w:rPr>
          <w:rFonts w:ascii="Arial" w:hAnsi="Arial" w:cs="Arial"/>
          <w:b/>
          <w:color w:val="FF0000"/>
          <w:sz w:val="22"/>
          <w:szCs w:val="22"/>
        </w:rPr>
        <w:tab/>
      </w:r>
    </w:p>
    <w:p w:rsidR="007C7EF6" w:rsidRDefault="007C7EF6" w:rsidP="007C7EF6">
      <w:pPr>
        <w:ind w:firstLine="567"/>
        <w:rPr>
          <w:rFonts w:ascii="Arial" w:hAnsi="Arial" w:cs="Arial"/>
          <w:b/>
          <w:color w:val="FF0000"/>
          <w:sz w:val="22"/>
          <w:szCs w:val="22"/>
        </w:rPr>
      </w:pPr>
      <w:r w:rsidRPr="00433D7C">
        <w:rPr>
          <w:rFonts w:ascii="Arial" w:hAnsi="Arial" w:cs="Arial"/>
          <w:b/>
          <w:noProof/>
          <w:color w:val="FF0000"/>
          <w:sz w:val="22"/>
          <w:szCs w:val="22"/>
        </w:rPr>
        <w:drawing>
          <wp:inline distT="0" distB="0" distL="0" distR="0" wp14:anchorId="6787884E" wp14:editId="55850821">
            <wp:extent cx="5024020" cy="25200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4020" cy="2520000"/>
                    </a:xfrm>
                    <a:prstGeom prst="rect">
                      <a:avLst/>
                    </a:prstGeom>
                    <a:noFill/>
                  </pic:spPr>
                </pic:pic>
              </a:graphicData>
            </a:graphic>
          </wp:inline>
        </w:drawing>
      </w:r>
    </w:p>
    <w:p w:rsidR="001D24E1" w:rsidRPr="007C7EF6" w:rsidRDefault="001C6619" w:rsidP="007C7EF6">
      <w:pPr>
        <w:ind w:firstLine="567"/>
        <w:rPr>
          <w:rFonts w:ascii="Arial" w:hAnsi="Arial" w:cs="Arial"/>
          <w:b/>
          <w:sz w:val="22"/>
          <w:szCs w:val="22"/>
        </w:rPr>
      </w:pPr>
      <w:r w:rsidRPr="00433D7C">
        <w:rPr>
          <w:rFonts w:ascii="Arial" w:hAnsi="Arial" w:cs="Arial"/>
          <w:b/>
          <w:color w:val="FF0000"/>
          <w:sz w:val="22"/>
          <w:szCs w:val="22"/>
        </w:rPr>
        <w:tab/>
      </w:r>
      <w:r w:rsidRPr="00433D7C">
        <w:rPr>
          <w:rFonts w:ascii="Arial" w:hAnsi="Arial" w:cs="Arial"/>
          <w:b/>
          <w:color w:val="FF0000"/>
          <w:sz w:val="22"/>
          <w:szCs w:val="22"/>
        </w:rPr>
        <w:tab/>
      </w:r>
      <w:r w:rsidRPr="00433D7C">
        <w:rPr>
          <w:rFonts w:ascii="Arial" w:hAnsi="Arial" w:cs="Arial"/>
          <w:b/>
          <w:color w:val="FF0000"/>
          <w:sz w:val="22"/>
          <w:szCs w:val="22"/>
        </w:rPr>
        <w:tab/>
      </w:r>
      <w:r w:rsidRPr="00433D7C">
        <w:rPr>
          <w:rFonts w:ascii="Arial" w:hAnsi="Arial" w:cs="Arial"/>
          <w:b/>
          <w:color w:val="FF0000"/>
          <w:sz w:val="22"/>
          <w:szCs w:val="22"/>
        </w:rPr>
        <w:tab/>
      </w:r>
      <w:r w:rsidRPr="00433D7C">
        <w:rPr>
          <w:rFonts w:ascii="Arial" w:hAnsi="Arial" w:cs="Arial"/>
          <w:b/>
          <w:color w:val="FF0000"/>
          <w:sz w:val="22"/>
          <w:szCs w:val="22"/>
        </w:rPr>
        <w:tab/>
      </w:r>
    </w:p>
    <w:p w:rsidR="00332F71" w:rsidRDefault="00332F71" w:rsidP="009745C9">
      <w:pPr>
        <w:ind w:left="567"/>
        <w:rPr>
          <w:rFonts w:ascii="Arial" w:hAnsi="Arial" w:cs="Arial"/>
          <w:b/>
          <w:sz w:val="20"/>
          <w:szCs w:val="22"/>
        </w:rPr>
      </w:pPr>
    </w:p>
    <w:p w:rsidR="009745C9" w:rsidRPr="00433D7C" w:rsidRDefault="009745C9" w:rsidP="009745C9">
      <w:pPr>
        <w:ind w:left="567"/>
        <w:rPr>
          <w:rFonts w:ascii="Arial" w:hAnsi="Arial" w:cs="Arial"/>
          <w:b/>
          <w:sz w:val="20"/>
          <w:szCs w:val="22"/>
        </w:rPr>
      </w:pPr>
      <w:r w:rsidRPr="00433D7C">
        <w:rPr>
          <w:rFonts w:ascii="Arial" w:hAnsi="Arial" w:cs="Arial"/>
          <w:b/>
          <w:sz w:val="20"/>
          <w:szCs w:val="22"/>
        </w:rPr>
        <w:lastRenderedPageBreak/>
        <w:t>Aintree University Hospital Foundation Trust</w:t>
      </w:r>
    </w:p>
    <w:p w:rsidR="009745C9" w:rsidRPr="00433D7C" w:rsidRDefault="009745C9" w:rsidP="009745C9"/>
    <w:p w:rsidR="00F113C6" w:rsidRDefault="009745C9" w:rsidP="009745C9">
      <w:pPr>
        <w:ind w:left="567"/>
        <w:jc w:val="both"/>
        <w:rPr>
          <w:rFonts w:ascii="Arial" w:hAnsi="Arial" w:cs="Arial"/>
          <w:bCs/>
          <w:sz w:val="22"/>
          <w:szCs w:val="22"/>
        </w:rPr>
      </w:pPr>
      <w:proofErr w:type="gramStart"/>
      <w:r w:rsidRPr="00433D7C">
        <w:rPr>
          <w:rFonts w:ascii="Arial" w:hAnsi="Arial" w:cs="Arial"/>
          <w:bCs/>
          <w:sz w:val="22"/>
          <w:szCs w:val="22"/>
        </w:rPr>
        <w:t>The</w:t>
      </w:r>
      <w:r w:rsidR="00F113C6" w:rsidRPr="00433D7C">
        <w:rPr>
          <w:rFonts w:ascii="Arial" w:hAnsi="Arial" w:cs="Arial"/>
          <w:bCs/>
          <w:sz w:val="22"/>
          <w:szCs w:val="22"/>
        </w:rPr>
        <w:t xml:space="preserve"> </w:t>
      </w:r>
      <w:r w:rsidR="009E1A31" w:rsidRPr="00433D7C">
        <w:rPr>
          <w:rFonts w:ascii="Arial" w:hAnsi="Arial" w:cs="Arial"/>
          <w:bCs/>
          <w:sz w:val="22"/>
          <w:szCs w:val="22"/>
        </w:rPr>
        <w:t>ov</w:t>
      </w:r>
      <w:r w:rsidRPr="00433D7C">
        <w:rPr>
          <w:rFonts w:ascii="Arial" w:hAnsi="Arial" w:cs="Arial"/>
          <w:bCs/>
          <w:sz w:val="22"/>
          <w:szCs w:val="22"/>
        </w:rPr>
        <w:t>erspe</w:t>
      </w:r>
      <w:r w:rsidR="001D198F" w:rsidRPr="00433D7C">
        <w:rPr>
          <w:rFonts w:ascii="Arial" w:hAnsi="Arial" w:cs="Arial"/>
          <w:bCs/>
          <w:sz w:val="22"/>
          <w:szCs w:val="22"/>
        </w:rPr>
        <w:t>nd</w:t>
      </w:r>
      <w:proofErr w:type="gramEnd"/>
      <w:r w:rsidR="00A515FB" w:rsidRPr="00433D7C">
        <w:rPr>
          <w:rFonts w:ascii="Arial" w:hAnsi="Arial" w:cs="Arial"/>
          <w:bCs/>
          <w:sz w:val="22"/>
          <w:szCs w:val="22"/>
        </w:rPr>
        <w:t xml:space="preserve"> reported for Aintree is £0.</w:t>
      </w:r>
      <w:r w:rsidR="00154AB4" w:rsidRPr="00433D7C">
        <w:rPr>
          <w:rFonts w:ascii="Arial" w:hAnsi="Arial" w:cs="Arial"/>
          <w:bCs/>
          <w:sz w:val="22"/>
          <w:szCs w:val="22"/>
        </w:rPr>
        <w:t>187</w:t>
      </w:r>
      <w:r w:rsidRPr="00433D7C">
        <w:rPr>
          <w:rFonts w:ascii="Arial" w:hAnsi="Arial" w:cs="Arial"/>
          <w:bCs/>
          <w:sz w:val="22"/>
          <w:szCs w:val="22"/>
        </w:rPr>
        <w:t xml:space="preserve">m </w:t>
      </w:r>
      <w:r w:rsidR="00317E53" w:rsidRPr="00433D7C">
        <w:rPr>
          <w:rFonts w:ascii="Arial" w:hAnsi="Arial" w:cs="Arial"/>
          <w:bCs/>
          <w:sz w:val="22"/>
          <w:szCs w:val="22"/>
        </w:rPr>
        <w:t xml:space="preserve">year to </w:t>
      </w:r>
      <w:r w:rsidR="00A70E95" w:rsidRPr="00433D7C">
        <w:rPr>
          <w:rFonts w:ascii="Arial" w:hAnsi="Arial" w:cs="Arial"/>
          <w:bCs/>
          <w:sz w:val="22"/>
          <w:szCs w:val="22"/>
        </w:rPr>
        <w:t>date</w:t>
      </w:r>
      <w:r w:rsidR="001D198F" w:rsidRPr="00433D7C">
        <w:rPr>
          <w:rFonts w:ascii="Arial" w:hAnsi="Arial" w:cs="Arial"/>
          <w:bCs/>
          <w:sz w:val="22"/>
          <w:szCs w:val="22"/>
        </w:rPr>
        <w:t xml:space="preserve"> wi</w:t>
      </w:r>
      <w:r w:rsidR="00297502" w:rsidRPr="00433D7C">
        <w:rPr>
          <w:rFonts w:ascii="Arial" w:hAnsi="Arial" w:cs="Arial"/>
          <w:bCs/>
          <w:sz w:val="22"/>
          <w:szCs w:val="22"/>
        </w:rPr>
        <w:t>th a year-end forecast of £0.</w:t>
      </w:r>
      <w:r w:rsidR="00154AB4" w:rsidRPr="00433D7C">
        <w:rPr>
          <w:rFonts w:ascii="Arial" w:hAnsi="Arial" w:cs="Arial"/>
          <w:bCs/>
          <w:sz w:val="22"/>
          <w:szCs w:val="22"/>
        </w:rPr>
        <w:t>755</w:t>
      </w:r>
      <w:r w:rsidR="00147C9C" w:rsidRPr="00433D7C">
        <w:rPr>
          <w:rFonts w:ascii="Arial" w:hAnsi="Arial" w:cs="Arial"/>
          <w:bCs/>
          <w:sz w:val="22"/>
          <w:szCs w:val="22"/>
        </w:rPr>
        <w:t>m</w:t>
      </w:r>
      <w:r w:rsidRPr="00433D7C">
        <w:rPr>
          <w:rFonts w:ascii="Arial" w:hAnsi="Arial" w:cs="Arial"/>
          <w:bCs/>
          <w:sz w:val="22"/>
          <w:szCs w:val="22"/>
        </w:rPr>
        <w:t xml:space="preserve">. </w:t>
      </w:r>
      <w:r w:rsidR="00F113C6" w:rsidRPr="00433D7C">
        <w:rPr>
          <w:rFonts w:ascii="Arial" w:hAnsi="Arial" w:cs="Arial"/>
          <w:bCs/>
          <w:sz w:val="22"/>
          <w:szCs w:val="22"/>
        </w:rPr>
        <w:t>This position is based on the agreed year-end</w:t>
      </w:r>
      <w:r w:rsidR="00F113C6">
        <w:rPr>
          <w:rFonts w:ascii="Arial" w:hAnsi="Arial" w:cs="Arial"/>
          <w:bCs/>
          <w:sz w:val="22"/>
          <w:szCs w:val="22"/>
        </w:rPr>
        <w:t xml:space="preserve"> settlement with Aintree.</w:t>
      </w:r>
    </w:p>
    <w:p w:rsidR="00F113C6" w:rsidRDefault="00F113C6" w:rsidP="009745C9">
      <w:pPr>
        <w:ind w:left="567"/>
        <w:jc w:val="both"/>
        <w:rPr>
          <w:rFonts w:ascii="Arial" w:hAnsi="Arial" w:cs="Arial"/>
          <w:bCs/>
          <w:sz w:val="22"/>
          <w:szCs w:val="22"/>
        </w:rPr>
      </w:pPr>
    </w:p>
    <w:p w:rsidR="009745C9" w:rsidRPr="00F113C6" w:rsidRDefault="009745C9" w:rsidP="009745C9">
      <w:pPr>
        <w:ind w:left="567"/>
        <w:jc w:val="both"/>
        <w:rPr>
          <w:rFonts w:ascii="Arial" w:hAnsi="Arial" w:cs="Arial"/>
          <w:bCs/>
          <w:sz w:val="22"/>
          <w:szCs w:val="22"/>
        </w:rPr>
      </w:pPr>
      <w:r w:rsidRPr="00154AB4">
        <w:rPr>
          <w:rFonts w:ascii="Arial" w:hAnsi="Arial" w:cs="Arial"/>
          <w:bCs/>
          <w:sz w:val="22"/>
          <w:szCs w:val="22"/>
        </w:rPr>
        <w:t>The</w:t>
      </w:r>
      <w:r w:rsidR="00F113C6">
        <w:rPr>
          <w:rFonts w:ascii="Arial" w:hAnsi="Arial" w:cs="Arial"/>
          <w:bCs/>
          <w:sz w:val="22"/>
          <w:szCs w:val="22"/>
        </w:rPr>
        <w:t xml:space="preserve"> year to date</w:t>
      </w:r>
      <w:r w:rsidRPr="00154AB4">
        <w:rPr>
          <w:rFonts w:ascii="Arial" w:hAnsi="Arial" w:cs="Arial"/>
          <w:bCs/>
          <w:sz w:val="22"/>
          <w:szCs w:val="22"/>
        </w:rPr>
        <w:t xml:space="preserve"> position is based on Month </w:t>
      </w:r>
      <w:r w:rsidR="00154AB4" w:rsidRPr="00154AB4">
        <w:rPr>
          <w:rFonts w:ascii="Arial" w:hAnsi="Arial" w:cs="Arial"/>
          <w:bCs/>
          <w:sz w:val="22"/>
          <w:szCs w:val="22"/>
        </w:rPr>
        <w:t>9</w:t>
      </w:r>
      <w:r w:rsidRPr="00154AB4">
        <w:rPr>
          <w:rFonts w:ascii="Arial" w:hAnsi="Arial" w:cs="Arial"/>
          <w:bCs/>
          <w:sz w:val="22"/>
          <w:szCs w:val="22"/>
        </w:rPr>
        <w:t xml:space="preserve"> performance information received from the trust </w:t>
      </w:r>
      <w:r w:rsidRPr="00F113C6">
        <w:rPr>
          <w:rFonts w:ascii="Arial" w:hAnsi="Arial" w:cs="Arial"/>
          <w:bCs/>
          <w:sz w:val="22"/>
          <w:szCs w:val="22"/>
        </w:rPr>
        <w:t xml:space="preserve">and has been extrapolated to Month </w:t>
      </w:r>
      <w:r w:rsidR="00154AB4" w:rsidRPr="00F113C6">
        <w:rPr>
          <w:rFonts w:ascii="Arial" w:hAnsi="Arial" w:cs="Arial"/>
          <w:bCs/>
          <w:sz w:val="22"/>
          <w:szCs w:val="22"/>
        </w:rPr>
        <w:t>10</w:t>
      </w:r>
      <w:r w:rsidR="0004133A" w:rsidRPr="00F113C6">
        <w:rPr>
          <w:rFonts w:ascii="Arial" w:hAnsi="Arial" w:cs="Arial"/>
          <w:bCs/>
          <w:sz w:val="22"/>
          <w:szCs w:val="22"/>
        </w:rPr>
        <w:t xml:space="preserve"> position. The </w:t>
      </w:r>
      <w:r w:rsidR="001D198F" w:rsidRPr="00F113C6">
        <w:rPr>
          <w:rFonts w:ascii="Arial" w:hAnsi="Arial" w:cs="Arial"/>
          <w:bCs/>
          <w:sz w:val="22"/>
          <w:szCs w:val="22"/>
        </w:rPr>
        <w:t xml:space="preserve">newly opened </w:t>
      </w:r>
      <w:r w:rsidR="0004133A" w:rsidRPr="00F113C6">
        <w:rPr>
          <w:rFonts w:ascii="Arial" w:hAnsi="Arial" w:cs="Arial"/>
          <w:bCs/>
          <w:sz w:val="22"/>
          <w:szCs w:val="22"/>
        </w:rPr>
        <w:t>urgent care treatment centre</w:t>
      </w:r>
      <w:r w:rsidR="001D198F" w:rsidRPr="00F113C6">
        <w:rPr>
          <w:rFonts w:ascii="Arial" w:hAnsi="Arial" w:cs="Arial"/>
          <w:bCs/>
          <w:sz w:val="22"/>
          <w:szCs w:val="22"/>
        </w:rPr>
        <w:t>,</w:t>
      </w:r>
      <w:r w:rsidR="0004133A" w:rsidRPr="00F113C6">
        <w:rPr>
          <w:rFonts w:ascii="Arial" w:hAnsi="Arial" w:cs="Arial"/>
          <w:bCs/>
          <w:sz w:val="22"/>
          <w:szCs w:val="22"/>
        </w:rPr>
        <w:t xml:space="preserve"> with a revised layout</w:t>
      </w:r>
      <w:r w:rsidR="001D198F" w:rsidRPr="00F113C6">
        <w:rPr>
          <w:rFonts w:ascii="Arial" w:hAnsi="Arial" w:cs="Arial"/>
          <w:bCs/>
          <w:sz w:val="22"/>
          <w:szCs w:val="22"/>
        </w:rPr>
        <w:t>,</w:t>
      </w:r>
      <w:r w:rsidR="00297502" w:rsidRPr="00F113C6">
        <w:rPr>
          <w:rFonts w:ascii="Arial" w:hAnsi="Arial" w:cs="Arial"/>
          <w:bCs/>
          <w:sz w:val="22"/>
          <w:szCs w:val="22"/>
        </w:rPr>
        <w:t xml:space="preserve"> has contributed</w:t>
      </w:r>
      <w:r w:rsidR="0004133A" w:rsidRPr="00F113C6">
        <w:rPr>
          <w:rFonts w:ascii="Arial" w:hAnsi="Arial" w:cs="Arial"/>
          <w:bCs/>
          <w:sz w:val="22"/>
          <w:szCs w:val="22"/>
        </w:rPr>
        <w:t xml:space="preserve"> to </w:t>
      </w:r>
      <w:r w:rsidR="00297502" w:rsidRPr="00F113C6">
        <w:rPr>
          <w:rFonts w:ascii="Arial" w:hAnsi="Arial" w:cs="Arial"/>
          <w:bCs/>
          <w:sz w:val="22"/>
          <w:szCs w:val="22"/>
        </w:rPr>
        <w:t xml:space="preserve">the </w:t>
      </w:r>
      <w:r w:rsidR="0004133A" w:rsidRPr="00F113C6">
        <w:rPr>
          <w:rFonts w:ascii="Arial" w:hAnsi="Arial" w:cs="Arial"/>
          <w:bCs/>
          <w:sz w:val="22"/>
          <w:szCs w:val="22"/>
        </w:rPr>
        <w:t>increased costs</w:t>
      </w:r>
      <w:r w:rsidR="005F4367">
        <w:rPr>
          <w:rFonts w:ascii="Arial" w:hAnsi="Arial" w:cs="Arial"/>
          <w:bCs/>
          <w:sz w:val="22"/>
          <w:szCs w:val="22"/>
        </w:rPr>
        <w:t xml:space="preserve">.  </w:t>
      </w:r>
    </w:p>
    <w:p w:rsidR="009745C9" w:rsidRPr="00F113C6" w:rsidRDefault="009745C9" w:rsidP="009745C9">
      <w:pPr>
        <w:ind w:left="567"/>
        <w:rPr>
          <w:rFonts w:ascii="Arial" w:hAnsi="Arial" w:cs="Arial"/>
          <w:sz w:val="22"/>
          <w:szCs w:val="22"/>
        </w:rPr>
      </w:pPr>
    </w:p>
    <w:p w:rsidR="00297502" w:rsidRPr="00F113C6" w:rsidRDefault="00297502" w:rsidP="00E44BAD">
      <w:pPr>
        <w:ind w:left="567"/>
        <w:jc w:val="both"/>
        <w:rPr>
          <w:rFonts w:ascii="Arial" w:hAnsi="Arial" w:cs="Arial"/>
          <w:bCs/>
          <w:sz w:val="22"/>
          <w:szCs w:val="22"/>
        </w:rPr>
      </w:pPr>
      <w:r w:rsidRPr="00F113C6">
        <w:rPr>
          <w:rFonts w:ascii="Arial" w:hAnsi="Arial" w:cs="Arial"/>
          <w:bCs/>
          <w:sz w:val="22"/>
          <w:szCs w:val="22"/>
        </w:rPr>
        <w:t>This over</w:t>
      </w:r>
      <w:r w:rsidR="009745C9" w:rsidRPr="00F113C6">
        <w:rPr>
          <w:rFonts w:ascii="Arial" w:hAnsi="Arial" w:cs="Arial"/>
          <w:bCs/>
          <w:sz w:val="22"/>
          <w:szCs w:val="22"/>
        </w:rPr>
        <w:t>spend is predominantly within</w:t>
      </w:r>
      <w:r w:rsidR="009453D5" w:rsidRPr="00F113C6">
        <w:rPr>
          <w:rFonts w:ascii="Arial" w:hAnsi="Arial" w:cs="Arial"/>
          <w:bCs/>
          <w:sz w:val="22"/>
          <w:szCs w:val="22"/>
        </w:rPr>
        <w:t xml:space="preserve"> </w:t>
      </w:r>
      <w:r w:rsidR="00F113C6" w:rsidRPr="00F113C6">
        <w:rPr>
          <w:rFonts w:ascii="Arial" w:hAnsi="Arial" w:cs="Arial"/>
          <w:bCs/>
          <w:sz w:val="22"/>
          <w:szCs w:val="22"/>
        </w:rPr>
        <w:t>Cardiology £0.471</w:t>
      </w:r>
      <w:r w:rsidR="001D198F" w:rsidRPr="00F113C6">
        <w:rPr>
          <w:rFonts w:ascii="Arial" w:hAnsi="Arial" w:cs="Arial"/>
          <w:bCs/>
          <w:sz w:val="22"/>
          <w:szCs w:val="22"/>
        </w:rPr>
        <w:t xml:space="preserve">m, </w:t>
      </w:r>
      <w:r w:rsidR="00CB2FB5" w:rsidRPr="00F113C6">
        <w:rPr>
          <w:rFonts w:ascii="Arial" w:hAnsi="Arial" w:cs="Arial"/>
          <w:bCs/>
          <w:sz w:val="22"/>
          <w:szCs w:val="22"/>
        </w:rPr>
        <w:t>Acute Medicine £0.</w:t>
      </w:r>
      <w:r w:rsidR="00F113C6" w:rsidRPr="00F113C6">
        <w:rPr>
          <w:rFonts w:ascii="Arial" w:hAnsi="Arial" w:cs="Arial"/>
          <w:bCs/>
          <w:sz w:val="22"/>
          <w:szCs w:val="22"/>
        </w:rPr>
        <w:t>411</w:t>
      </w:r>
      <w:r w:rsidR="00CB2FB5" w:rsidRPr="00F113C6">
        <w:rPr>
          <w:rFonts w:ascii="Arial" w:hAnsi="Arial" w:cs="Arial"/>
          <w:bCs/>
          <w:sz w:val="22"/>
          <w:szCs w:val="22"/>
        </w:rPr>
        <w:t>m</w:t>
      </w:r>
      <w:r w:rsidR="00F113C6" w:rsidRPr="00F113C6">
        <w:rPr>
          <w:rFonts w:ascii="Arial" w:hAnsi="Arial" w:cs="Arial"/>
          <w:bCs/>
          <w:sz w:val="22"/>
          <w:szCs w:val="22"/>
        </w:rPr>
        <w:t>, Gastroenterology £0.378</w:t>
      </w:r>
      <w:r w:rsidRPr="00F113C6">
        <w:rPr>
          <w:rFonts w:ascii="Arial" w:hAnsi="Arial" w:cs="Arial"/>
          <w:bCs/>
          <w:sz w:val="22"/>
          <w:szCs w:val="22"/>
        </w:rPr>
        <w:t>m and Clinical Haematology £0.1</w:t>
      </w:r>
      <w:r w:rsidR="00F113C6" w:rsidRPr="00F113C6">
        <w:rPr>
          <w:rFonts w:ascii="Arial" w:hAnsi="Arial" w:cs="Arial"/>
          <w:bCs/>
          <w:sz w:val="22"/>
          <w:szCs w:val="22"/>
        </w:rPr>
        <w:t>90</w:t>
      </w:r>
      <w:r w:rsidRPr="00F113C6">
        <w:rPr>
          <w:rFonts w:ascii="Arial" w:hAnsi="Arial" w:cs="Arial"/>
          <w:bCs/>
          <w:sz w:val="22"/>
          <w:szCs w:val="22"/>
        </w:rPr>
        <w:t>m</w:t>
      </w:r>
      <w:r w:rsidR="00466946" w:rsidRPr="00F113C6">
        <w:rPr>
          <w:rFonts w:ascii="Arial" w:hAnsi="Arial" w:cs="Arial"/>
          <w:bCs/>
          <w:sz w:val="22"/>
          <w:szCs w:val="22"/>
        </w:rPr>
        <w:t>.</w:t>
      </w:r>
      <w:r w:rsidR="00E44BAD" w:rsidRPr="00F113C6">
        <w:rPr>
          <w:rFonts w:ascii="Arial" w:hAnsi="Arial" w:cs="Arial"/>
          <w:bCs/>
          <w:sz w:val="22"/>
          <w:szCs w:val="22"/>
        </w:rPr>
        <w:t xml:space="preserve"> </w:t>
      </w:r>
      <w:r w:rsidRPr="00F113C6">
        <w:rPr>
          <w:rFonts w:ascii="Arial" w:hAnsi="Arial" w:cs="Arial"/>
          <w:bCs/>
          <w:sz w:val="22"/>
          <w:szCs w:val="22"/>
        </w:rPr>
        <w:t>This is offset by underspends within Elective and Non-Elective Accident &amp; Emergency £</w:t>
      </w:r>
      <w:r w:rsidR="00F113C6" w:rsidRPr="00F113C6">
        <w:rPr>
          <w:rFonts w:ascii="Arial" w:hAnsi="Arial" w:cs="Arial"/>
          <w:bCs/>
          <w:sz w:val="22"/>
          <w:szCs w:val="22"/>
        </w:rPr>
        <w:t>1.084m</w:t>
      </w:r>
      <w:r w:rsidRPr="00F113C6">
        <w:rPr>
          <w:rFonts w:ascii="Arial" w:hAnsi="Arial" w:cs="Arial"/>
          <w:bCs/>
          <w:sz w:val="22"/>
          <w:szCs w:val="22"/>
        </w:rPr>
        <w:t>,</w:t>
      </w:r>
      <w:r w:rsidR="00F113C6" w:rsidRPr="00F113C6">
        <w:rPr>
          <w:rFonts w:ascii="Arial" w:hAnsi="Arial" w:cs="Arial"/>
          <w:bCs/>
          <w:sz w:val="22"/>
          <w:szCs w:val="22"/>
        </w:rPr>
        <w:t xml:space="preserve"> Geriatric Medicine £0.443</w:t>
      </w:r>
      <w:r w:rsidRPr="00F113C6">
        <w:rPr>
          <w:rFonts w:ascii="Arial" w:hAnsi="Arial" w:cs="Arial"/>
          <w:bCs/>
          <w:sz w:val="22"/>
          <w:szCs w:val="22"/>
        </w:rPr>
        <w:t>m and Respiratory Medicine £0.2</w:t>
      </w:r>
      <w:r w:rsidR="00F113C6" w:rsidRPr="00F113C6">
        <w:rPr>
          <w:rFonts w:ascii="Arial" w:hAnsi="Arial" w:cs="Arial"/>
          <w:bCs/>
          <w:sz w:val="22"/>
          <w:szCs w:val="22"/>
        </w:rPr>
        <w:t>89</w:t>
      </w:r>
      <w:r w:rsidRPr="00F113C6">
        <w:rPr>
          <w:rFonts w:ascii="Arial" w:hAnsi="Arial" w:cs="Arial"/>
          <w:bCs/>
          <w:sz w:val="22"/>
          <w:szCs w:val="22"/>
        </w:rPr>
        <w:t>m.</w:t>
      </w:r>
    </w:p>
    <w:p w:rsidR="009745C9" w:rsidRPr="00EC53BC" w:rsidRDefault="009745C9" w:rsidP="00B20E8E">
      <w:pPr>
        <w:ind w:left="567"/>
        <w:jc w:val="both"/>
        <w:rPr>
          <w:rFonts w:ascii="Arial" w:hAnsi="Arial" w:cs="Arial"/>
          <w:bCs/>
          <w:sz w:val="22"/>
          <w:szCs w:val="22"/>
          <w:highlight w:val="yellow"/>
        </w:rPr>
      </w:pPr>
    </w:p>
    <w:p w:rsidR="006A262E" w:rsidRPr="007C7EF6" w:rsidRDefault="00F64012" w:rsidP="00B20E8E">
      <w:pPr>
        <w:ind w:left="567"/>
        <w:jc w:val="both"/>
        <w:rPr>
          <w:rFonts w:ascii="Arial" w:hAnsi="Arial" w:cs="Arial"/>
          <w:sz w:val="22"/>
          <w:szCs w:val="22"/>
        </w:rPr>
      </w:pPr>
      <w:r w:rsidRPr="00154AB4">
        <w:rPr>
          <w:rFonts w:ascii="Arial" w:hAnsi="Arial" w:cs="Arial"/>
          <w:sz w:val="22"/>
          <w:szCs w:val="22"/>
        </w:rPr>
        <w:t>In-</w:t>
      </w:r>
      <w:r w:rsidRPr="007C7EF6">
        <w:rPr>
          <w:rFonts w:ascii="Arial" w:hAnsi="Arial" w:cs="Arial"/>
          <w:sz w:val="22"/>
          <w:szCs w:val="22"/>
        </w:rPr>
        <w:t xml:space="preserve">depth </w:t>
      </w:r>
      <w:r w:rsidR="009745C9" w:rsidRPr="007C7EF6">
        <w:rPr>
          <w:rFonts w:ascii="Arial" w:hAnsi="Arial" w:cs="Arial"/>
          <w:sz w:val="22"/>
          <w:szCs w:val="22"/>
        </w:rPr>
        <w:t xml:space="preserve">analysis of </w:t>
      </w:r>
      <w:r w:rsidRPr="007C7EF6">
        <w:rPr>
          <w:rFonts w:ascii="Arial" w:hAnsi="Arial" w:cs="Arial"/>
          <w:sz w:val="22"/>
          <w:szCs w:val="22"/>
        </w:rPr>
        <w:t xml:space="preserve">the </w:t>
      </w:r>
      <w:r w:rsidR="009745C9" w:rsidRPr="007C7EF6">
        <w:rPr>
          <w:rFonts w:ascii="Arial" w:hAnsi="Arial" w:cs="Arial"/>
          <w:sz w:val="22"/>
          <w:szCs w:val="22"/>
        </w:rPr>
        <w:t xml:space="preserve">activity data is </w:t>
      </w:r>
      <w:r w:rsidRPr="007C7EF6">
        <w:rPr>
          <w:rFonts w:ascii="Arial" w:hAnsi="Arial" w:cs="Arial"/>
          <w:sz w:val="22"/>
          <w:szCs w:val="22"/>
        </w:rPr>
        <w:t xml:space="preserve">continuously being </w:t>
      </w:r>
      <w:r w:rsidR="002747FF" w:rsidRPr="007C7EF6">
        <w:rPr>
          <w:rFonts w:ascii="Arial" w:hAnsi="Arial" w:cs="Arial"/>
          <w:sz w:val="22"/>
          <w:szCs w:val="22"/>
        </w:rPr>
        <w:t>undertaken</w:t>
      </w:r>
      <w:r w:rsidR="00A70E95" w:rsidRPr="007C7EF6">
        <w:rPr>
          <w:rFonts w:ascii="Arial" w:hAnsi="Arial" w:cs="Arial"/>
          <w:sz w:val="22"/>
          <w:szCs w:val="22"/>
        </w:rPr>
        <w:t xml:space="preserve"> and</w:t>
      </w:r>
      <w:r w:rsidRPr="007C7EF6">
        <w:rPr>
          <w:rFonts w:ascii="Arial" w:hAnsi="Arial" w:cs="Arial"/>
          <w:sz w:val="22"/>
          <w:szCs w:val="22"/>
        </w:rPr>
        <w:t xml:space="preserve"> findings are</w:t>
      </w:r>
      <w:r w:rsidR="009745C9" w:rsidRPr="007C7EF6">
        <w:rPr>
          <w:rFonts w:ascii="Arial" w:hAnsi="Arial" w:cs="Arial"/>
          <w:sz w:val="22"/>
          <w:szCs w:val="22"/>
        </w:rPr>
        <w:t xml:space="preserve"> discussed with the provide</w:t>
      </w:r>
      <w:r w:rsidR="00BD41F8" w:rsidRPr="007C7EF6">
        <w:rPr>
          <w:rFonts w:ascii="Arial" w:hAnsi="Arial" w:cs="Arial"/>
          <w:sz w:val="22"/>
          <w:szCs w:val="22"/>
        </w:rPr>
        <w:t>r</w:t>
      </w:r>
      <w:r w:rsidR="00A70E95" w:rsidRPr="007C7EF6">
        <w:rPr>
          <w:rFonts w:ascii="Arial" w:hAnsi="Arial" w:cs="Arial"/>
          <w:sz w:val="22"/>
          <w:szCs w:val="22"/>
        </w:rPr>
        <w:t>. T</w:t>
      </w:r>
      <w:r w:rsidR="009745C9" w:rsidRPr="007C7EF6">
        <w:rPr>
          <w:rFonts w:ascii="Arial" w:hAnsi="Arial" w:cs="Arial"/>
          <w:sz w:val="22"/>
          <w:szCs w:val="22"/>
        </w:rPr>
        <w:t>he CCG will agree formal challenges to be raised within contracted timescales</w:t>
      </w:r>
      <w:r w:rsidR="00A70E95" w:rsidRPr="007C7EF6">
        <w:rPr>
          <w:rFonts w:ascii="Arial" w:hAnsi="Arial" w:cs="Arial"/>
          <w:sz w:val="22"/>
          <w:szCs w:val="22"/>
        </w:rPr>
        <w:t xml:space="preserve"> for areas that are currently over performing against plan</w:t>
      </w:r>
      <w:r w:rsidR="009745C9" w:rsidRPr="007C7EF6">
        <w:rPr>
          <w:rFonts w:ascii="Arial" w:hAnsi="Arial" w:cs="Arial"/>
          <w:sz w:val="22"/>
          <w:szCs w:val="22"/>
        </w:rPr>
        <w:t xml:space="preserve">. </w:t>
      </w:r>
    </w:p>
    <w:p w:rsidR="0004133A" w:rsidRPr="007C7EF6" w:rsidRDefault="0004133A">
      <w:pPr>
        <w:rPr>
          <w:rFonts w:ascii="Arial" w:hAnsi="Arial" w:cs="Arial"/>
          <w:b/>
          <w:bCs/>
          <w:sz w:val="22"/>
          <w:szCs w:val="22"/>
        </w:rPr>
      </w:pPr>
    </w:p>
    <w:p w:rsidR="0045567D" w:rsidRPr="007C7EF6" w:rsidRDefault="001C6619" w:rsidP="007C7EF6">
      <w:pPr>
        <w:ind w:firstLine="567"/>
        <w:rPr>
          <w:rFonts w:ascii="Arial" w:hAnsi="Arial" w:cs="Arial"/>
          <w:b/>
          <w:bCs/>
          <w:sz w:val="22"/>
          <w:szCs w:val="22"/>
        </w:rPr>
      </w:pPr>
      <w:r w:rsidRPr="007C7EF6">
        <w:rPr>
          <w:rFonts w:ascii="Arial" w:hAnsi="Arial" w:cs="Arial"/>
          <w:b/>
          <w:bCs/>
          <w:sz w:val="22"/>
          <w:szCs w:val="22"/>
        </w:rPr>
        <w:t xml:space="preserve">Graph </w:t>
      </w:r>
      <w:r w:rsidR="00942CBE" w:rsidRPr="007C7EF6">
        <w:rPr>
          <w:rFonts w:ascii="Arial" w:hAnsi="Arial" w:cs="Arial"/>
          <w:b/>
          <w:bCs/>
          <w:sz w:val="22"/>
          <w:szCs w:val="22"/>
        </w:rPr>
        <w:t>6</w:t>
      </w:r>
      <w:r w:rsidR="0045567D" w:rsidRPr="007C7EF6">
        <w:rPr>
          <w:rFonts w:ascii="Arial" w:hAnsi="Arial" w:cs="Arial"/>
          <w:bCs/>
          <w:sz w:val="22"/>
          <w:szCs w:val="22"/>
        </w:rPr>
        <w:tab/>
      </w:r>
      <w:r w:rsidR="0045567D" w:rsidRPr="007C7EF6">
        <w:rPr>
          <w:rFonts w:ascii="Arial" w:hAnsi="Arial" w:cs="Arial"/>
          <w:bCs/>
          <w:sz w:val="20"/>
          <w:szCs w:val="20"/>
        </w:rPr>
        <w:tab/>
      </w:r>
      <w:r w:rsidR="0045567D" w:rsidRPr="007C7EF6">
        <w:rPr>
          <w:rFonts w:ascii="Arial" w:hAnsi="Arial" w:cs="Arial"/>
          <w:bCs/>
          <w:sz w:val="20"/>
          <w:szCs w:val="20"/>
        </w:rPr>
        <w:tab/>
      </w:r>
      <w:r w:rsidR="0045567D" w:rsidRPr="007C7EF6">
        <w:rPr>
          <w:rFonts w:ascii="Arial" w:hAnsi="Arial" w:cs="Arial"/>
          <w:bCs/>
          <w:sz w:val="20"/>
          <w:szCs w:val="20"/>
        </w:rPr>
        <w:tab/>
      </w:r>
      <w:r w:rsidR="0045567D" w:rsidRPr="007C7EF6">
        <w:rPr>
          <w:rFonts w:ascii="Arial" w:hAnsi="Arial" w:cs="Arial"/>
          <w:bCs/>
          <w:sz w:val="20"/>
          <w:szCs w:val="20"/>
        </w:rPr>
        <w:tab/>
      </w:r>
    </w:p>
    <w:p w:rsidR="00CB2FB5" w:rsidRPr="007C7EF6" w:rsidRDefault="00332F71" w:rsidP="00095C50">
      <w:pPr>
        <w:ind w:left="567"/>
        <w:rPr>
          <w:rFonts w:ascii="Arial" w:hAnsi="Arial" w:cs="Arial"/>
          <w:sz w:val="22"/>
          <w:szCs w:val="22"/>
        </w:rPr>
      </w:pPr>
      <w:r w:rsidRPr="007C7EF6">
        <w:rPr>
          <w:rFonts w:ascii="Arial" w:hAnsi="Arial" w:cs="Arial"/>
          <w:noProof/>
          <w:sz w:val="22"/>
          <w:szCs w:val="22"/>
        </w:rPr>
        <w:drawing>
          <wp:inline distT="0" distB="0" distL="0" distR="0" wp14:anchorId="5F971B3B" wp14:editId="42FC8F69">
            <wp:extent cx="5024020" cy="252000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4020" cy="2520000"/>
                    </a:xfrm>
                    <a:prstGeom prst="rect">
                      <a:avLst/>
                    </a:prstGeom>
                    <a:noFill/>
                  </pic:spPr>
                </pic:pic>
              </a:graphicData>
            </a:graphic>
          </wp:inline>
        </w:drawing>
      </w:r>
    </w:p>
    <w:p w:rsidR="007C7EF6" w:rsidRDefault="007C7EF6" w:rsidP="007C7EF6">
      <w:pPr>
        <w:ind w:firstLine="567"/>
        <w:rPr>
          <w:rFonts w:ascii="Arial" w:hAnsi="Arial" w:cs="Arial"/>
          <w:b/>
          <w:sz w:val="22"/>
          <w:szCs w:val="22"/>
        </w:rPr>
      </w:pPr>
    </w:p>
    <w:p w:rsidR="00CB2FB5" w:rsidRPr="007C7EF6" w:rsidRDefault="00942CBE" w:rsidP="007C7EF6">
      <w:pPr>
        <w:ind w:firstLine="567"/>
        <w:rPr>
          <w:rFonts w:ascii="Arial" w:hAnsi="Arial" w:cs="Arial"/>
          <w:sz w:val="22"/>
          <w:szCs w:val="22"/>
        </w:rPr>
      </w:pPr>
      <w:r w:rsidRPr="007C7EF6">
        <w:rPr>
          <w:rFonts w:ascii="Arial" w:hAnsi="Arial" w:cs="Arial"/>
          <w:b/>
          <w:sz w:val="22"/>
          <w:szCs w:val="22"/>
        </w:rPr>
        <w:t>Graph 7</w:t>
      </w:r>
      <w:r w:rsidR="00DD2C35" w:rsidRPr="007C7EF6">
        <w:rPr>
          <w:rFonts w:ascii="Arial" w:hAnsi="Arial" w:cs="Arial"/>
          <w:sz w:val="22"/>
          <w:szCs w:val="22"/>
        </w:rPr>
        <w:tab/>
      </w:r>
    </w:p>
    <w:p w:rsidR="00347E16" w:rsidRPr="007C7EF6" w:rsidRDefault="007C7EF6" w:rsidP="00095C50">
      <w:pPr>
        <w:ind w:left="567"/>
        <w:rPr>
          <w:rFonts w:ascii="Arial" w:hAnsi="Arial" w:cs="Arial"/>
          <w:sz w:val="22"/>
          <w:szCs w:val="22"/>
        </w:rPr>
      </w:pPr>
      <w:r w:rsidRPr="007C7EF6">
        <w:rPr>
          <w:rFonts w:ascii="Arial" w:hAnsi="Arial" w:cs="Arial"/>
          <w:noProof/>
          <w:sz w:val="22"/>
          <w:szCs w:val="22"/>
        </w:rPr>
        <w:drawing>
          <wp:inline distT="0" distB="0" distL="0" distR="0" wp14:anchorId="04D773B9" wp14:editId="587F339B">
            <wp:extent cx="5024019" cy="252000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4019" cy="2520000"/>
                    </a:xfrm>
                    <a:prstGeom prst="rect">
                      <a:avLst/>
                    </a:prstGeom>
                    <a:noFill/>
                  </pic:spPr>
                </pic:pic>
              </a:graphicData>
            </a:graphic>
          </wp:inline>
        </w:drawing>
      </w:r>
    </w:p>
    <w:p w:rsidR="0045567D" w:rsidRPr="007C7EF6" w:rsidRDefault="007C7EF6" w:rsidP="007C7EF6">
      <w:pPr>
        <w:ind w:firstLine="567"/>
        <w:rPr>
          <w:rFonts w:ascii="Arial" w:hAnsi="Arial" w:cs="Arial"/>
          <w:b/>
          <w:sz w:val="22"/>
          <w:szCs w:val="22"/>
        </w:rPr>
      </w:pPr>
      <w:r w:rsidRPr="007C7EF6">
        <w:rPr>
          <w:rFonts w:ascii="Arial" w:hAnsi="Arial" w:cs="Arial"/>
          <w:b/>
          <w:sz w:val="22"/>
          <w:szCs w:val="22"/>
        </w:rPr>
        <w:br w:type="page"/>
      </w:r>
      <w:r w:rsidR="0045567D" w:rsidRPr="007C7EF6">
        <w:rPr>
          <w:rFonts w:ascii="Arial" w:hAnsi="Arial" w:cs="Arial"/>
          <w:b/>
          <w:sz w:val="22"/>
          <w:szCs w:val="22"/>
        </w:rPr>
        <w:lastRenderedPageBreak/>
        <w:t xml:space="preserve">Graph </w:t>
      </w:r>
      <w:r w:rsidR="00942CBE" w:rsidRPr="007C7EF6">
        <w:rPr>
          <w:rFonts w:ascii="Arial" w:hAnsi="Arial" w:cs="Arial"/>
          <w:b/>
          <w:sz w:val="22"/>
          <w:szCs w:val="22"/>
        </w:rPr>
        <w:t>8</w:t>
      </w:r>
    </w:p>
    <w:p w:rsidR="00035792" w:rsidRPr="007C7EF6" w:rsidRDefault="00332F71" w:rsidP="009745C9">
      <w:pPr>
        <w:ind w:left="567"/>
        <w:rPr>
          <w:rFonts w:ascii="Arial" w:hAnsi="Arial" w:cs="Arial"/>
          <w:noProof/>
          <w:sz w:val="22"/>
          <w:szCs w:val="22"/>
        </w:rPr>
      </w:pPr>
      <w:r w:rsidRPr="007C7EF6">
        <w:rPr>
          <w:rFonts w:ascii="Arial" w:hAnsi="Arial" w:cs="Arial"/>
          <w:noProof/>
          <w:sz w:val="22"/>
          <w:szCs w:val="22"/>
        </w:rPr>
        <w:drawing>
          <wp:inline distT="0" distB="0" distL="0" distR="0" wp14:anchorId="053BB601" wp14:editId="5EC20254">
            <wp:extent cx="5468620" cy="28041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8620" cy="2804160"/>
                    </a:xfrm>
                    <a:prstGeom prst="rect">
                      <a:avLst/>
                    </a:prstGeom>
                    <a:noFill/>
                  </pic:spPr>
                </pic:pic>
              </a:graphicData>
            </a:graphic>
          </wp:inline>
        </w:drawing>
      </w:r>
      <w:r w:rsidR="00BD41F8" w:rsidRPr="007C7EF6">
        <w:rPr>
          <w:rFonts w:ascii="Arial" w:hAnsi="Arial" w:cs="Arial"/>
          <w:noProof/>
          <w:sz w:val="22"/>
          <w:szCs w:val="22"/>
        </w:rPr>
        <w:t xml:space="preserve"> </w:t>
      </w:r>
    </w:p>
    <w:p w:rsidR="00347E16" w:rsidRPr="007C7EF6" w:rsidRDefault="00347E16" w:rsidP="009745C9">
      <w:pPr>
        <w:ind w:left="567"/>
        <w:rPr>
          <w:rFonts w:ascii="Arial" w:hAnsi="Arial" w:cs="Arial"/>
          <w:b/>
          <w:noProof/>
          <w:sz w:val="22"/>
          <w:szCs w:val="22"/>
        </w:rPr>
      </w:pPr>
    </w:p>
    <w:p w:rsidR="00942CBE" w:rsidRPr="007C7EF6" w:rsidRDefault="00942CBE" w:rsidP="009745C9">
      <w:pPr>
        <w:ind w:left="567"/>
        <w:rPr>
          <w:rFonts w:ascii="Arial" w:hAnsi="Arial" w:cs="Arial"/>
          <w:b/>
          <w:noProof/>
          <w:sz w:val="22"/>
          <w:szCs w:val="22"/>
        </w:rPr>
      </w:pPr>
      <w:r w:rsidRPr="007C7EF6">
        <w:rPr>
          <w:rFonts w:ascii="Arial" w:hAnsi="Arial" w:cs="Arial"/>
          <w:b/>
          <w:noProof/>
          <w:sz w:val="22"/>
          <w:szCs w:val="22"/>
        </w:rPr>
        <w:t>Graph 9</w:t>
      </w:r>
    </w:p>
    <w:p w:rsidR="00942CBE" w:rsidRPr="007C7EF6" w:rsidRDefault="00332F71" w:rsidP="009745C9">
      <w:pPr>
        <w:ind w:left="567"/>
        <w:rPr>
          <w:rFonts w:ascii="Arial" w:hAnsi="Arial" w:cs="Arial"/>
          <w:noProof/>
          <w:sz w:val="22"/>
          <w:szCs w:val="22"/>
        </w:rPr>
      </w:pPr>
      <w:r w:rsidRPr="007C7EF6">
        <w:rPr>
          <w:rFonts w:ascii="Arial" w:hAnsi="Arial" w:cs="Arial"/>
          <w:noProof/>
          <w:sz w:val="22"/>
          <w:szCs w:val="22"/>
        </w:rPr>
        <w:drawing>
          <wp:inline distT="0" distB="0" distL="0" distR="0" wp14:anchorId="53E032AC" wp14:editId="5B04C860">
            <wp:extent cx="5590540" cy="279844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0540" cy="2798445"/>
                    </a:xfrm>
                    <a:prstGeom prst="rect">
                      <a:avLst/>
                    </a:prstGeom>
                    <a:noFill/>
                  </pic:spPr>
                </pic:pic>
              </a:graphicData>
            </a:graphic>
          </wp:inline>
        </w:drawing>
      </w:r>
    </w:p>
    <w:p w:rsidR="00942CBE" w:rsidRPr="007C7EF6" w:rsidRDefault="00942CBE" w:rsidP="009745C9">
      <w:pPr>
        <w:ind w:left="567"/>
        <w:rPr>
          <w:rFonts w:ascii="Arial" w:hAnsi="Arial" w:cs="Arial"/>
          <w:sz w:val="22"/>
          <w:szCs w:val="22"/>
        </w:rPr>
      </w:pPr>
    </w:p>
    <w:p w:rsidR="00A515FB" w:rsidRPr="007C7EF6" w:rsidRDefault="00A515FB" w:rsidP="000819F5">
      <w:pPr>
        <w:ind w:left="567"/>
        <w:rPr>
          <w:rFonts w:ascii="Arial" w:hAnsi="Arial" w:cs="Arial"/>
          <w:b/>
          <w:bCs/>
          <w:sz w:val="22"/>
          <w:szCs w:val="22"/>
        </w:rPr>
      </w:pPr>
    </w:p>
    <w:p w:rsidR="00CD5484" w:rsidRPr="007C7EF6" w:rsidRDefault="00CD5484" w:rsidP="00CD5484">
      <w:pPr>
        <w:ind w:left="567"/>
        <w:rPr>
          <w:rFonts w:ascii="Arial" w:hAnsi="Arial" w:cs="Arial"/>
          <w:b/>
          <w:sz w:val="22"/>
          <w:szCs w:val="22"/>
        </w:rPr>
      </w:pPr>
      <w:r w:rsidRPr="007C7EF6">
        <w:rPr>
          <w:rFonts w:ascii="Arial" w:hAnsi="Arial" w:cs="Arial"/>
          <w:b/>
          <w:sz w:val="22"/>
          <w:szCs w:val="22"/>
        </w:rPr>
        <w:t>Independent Sector</w:t>
      </w:r>
    </w:p>
    <w:p w:rsidR="00CD5484" w:rsidRPr="007C7EF6" w:rsidRDefault="00CD5484" w:rsidP="00CD5484">
      <w:pPr>
        <w:ind w:left="567"/>
        <w:rPr>
          <w:rFonts w:ascii="Arial" w:hAnsi="Arial" w:cs="Arial"/>
          <w:b/>
          <w:color w:val="FF0000"/>
          <w:sz w:val="22"/>
          <w:szCs w:val="22"/>
        </w:rPr>
      </w:pPr>
    </w:p>
    <w:p w:rsidR="00CD5484" w:rsidRPr="007C7EF6" w:rsidRDefault="00CD5484" w:rsidP="00CD5484">
      <w:pPr>
        <w:ind w:left="567"/>
        <w:rPr>
          <w:rFonts w:ascii="Arial" w:hAnsi="Arial" w:cs="Arial"/>
          <w:sz w:val="22"/>
          <w:szCs w:val="22"/>
        </w:rPr>
      </w:pPr>
      <w:r w:rsidRPr="007C7EF6">
        <w:rPr>
          <w:rFonts w:ascii="Arial" w:hAnsi="Arial" w:cs="Arial"/>
          <w:sz w:val="22"/>
          <w:szCs w:val="22"/>
        </w:rPr>
        <w:t xml:space="preserve">The year to date position on the budget for Independent Sector is </w:t>
      </w:r>
      <w:proofErr w:type="gramStart"/>
      <w:r w:rsidRPr="007C7EF6">
        <w:rPr>
          <w:rFonts w:ascii="Arial" w:hAnsi="Arial" w:cs="Arial"/>
          <w:sz w:val="22"/>
          <w:szCs w:val="22"/>
        </w:rPr>
        <w:t>an overspend</w:t>
      </w:r>
      <w:proofErr w:type="gramEnd"/>
      <w:r w:rsidRPr="007C7EF6">
        <w:rPr>
          <w:rFonts w:ascii="Arial" w:hAnsi="Arial" w:cs="Arial"/>
          <w:sz w:val="22"/>
          <w:szCs w:val="22"/>
        </w:rPr>
        <w:t xml:space="preserve"> of £0.4</w:t>
      </w:r>
      <w:r w:rsidR="00154AB4" w:rsidRPr="007C7EF6">
        <w:rPr>
          <w:rFonts w:ascii="Arial" w:hAnsi="Arial" w:cs="Arial"/>
          <w:sz w:val="22"/>
          <w:szCs w:val="22"/>
        </w:rPr>
        <w:t>71</w:t>
      </w:r>
      <w:r w:rsidRPr="007C7EF6">
        <w:rPr>
          <w:rFonts w:ascii="Arial" w:hAnsi="Arial" w:cs="Arial"/>
          <w:sz w:val="22"/>
          <w:szCs w:val="22"/>
        </w:rPr>
        <w:t>m mainly due to Ramsay Healthcare experiencing an over performance against plan.  The year-end fo</w:t>
      </w:r>
      <w:r w:rsidR="00154AB4" w:rsidRPr="007C7EF6">
        <w:rPr>
          <w:rFonts w:ascii="Arial" w:hAnsi="Arial" w:cs="Arial"/>
          <w:sz w:val="22"/>
          <w:szCs w:val="22"/>
        </w:rPr>
        <w:t xml:space="preserve">recast is </w:t>
      </w:r>
      <w:proofErr w:type="gramStart"/>
      <w:r w:rsidR="00154AB4" w:rsidRPr="007C7EF6">
        <w:rPr>
          <w:rFonts w:ascii="Arial" w:hAnsi="Arial" w:cs="Arial"/>
          <w:sz w:val="22"/>
          <w:szCs w:val="22"/>
        </w:rPr>
        <w:t>an overspend</w:t>
      </w:r>
      <w:proofErr w:type="gramEnd"/>
      <w:r w:rsidR="00154AB4" w:rsidRPr="007C7EF6">
        <w:rPr>
          <w:rFonts w:ascii="Arial" w:hAnsi="Arial" w:cs="Arial"/>
          <w:sz w:val="22"/>
          <w:szCs w:val="22"/>
        </w:rPr>
        <w:t xml:space="preserve"> of £0.636</w:t>
      </w:r>
      <w:r w:rsidRPr="007C7EF6">
        <w:rPr>
          <w:rFonts w:ascii="Arial" w:hAnsi="Arial" w:cs="Arial"/>
          <w:sz w:val="22"/>
          <w:szCs w:val="22"/>
        </w:rPr>
        <w:t xml:space="preserve">m.  The majority of </w:t>
      </w:r>
      <w:proofErr w:type="gramStart"/>
      <w:r w:rsidRPr="007C7EF6">
        <w:rPr>
          <w:rFonts w:ascii="Arial" w:hAnsi="Arial" w:cs="Arial"/>
          <w:sz w:val="22"/>
          <w:szCs w:val="22"/>
        </w:rPr>
        <w:t>the overspend</w:t>
      </w:r>
      <w:proofErr w:type="gramEnd"/>
      <w:r w:rsidRPr="007C7EF6">
        <w:rPr>
          <w:rFonts w:ascii="Arial" w:hAnsi="Arial" w:cs="Arial"/>
          <w:sz w:val="22"/>
          <w:szCs w:val="22"/>
        </w:rPr>
        <w:t xml:space="preserve"> relates to Ramsay Healthcare in respect of Trauma and Orthopaedic activity over performance against plan.</w:t>
      </w:r>
    </w:p>
    <w:p w:rsidR="00CD5484" w:rsidRPr="007C7EF6" w:rsidRDefault="00CD5484" w:rsidP="000819F5">
      <w:pPr>
        <w:ind w:left="567"/>
        <w:rPr>
          <w:rFonts w:ascii="Arial" w:hAnsi="Arial" w:cs="Arial"/>
          <w:b/>
          <w:bCs/>
          <w:sz w:val="22"/>
          <w:szCs w:val="22"/>
        </w:rPr>
      </w:pPr>
    </w:p>
    <w:p w:rsidR="000819F5" w:rsidRPr="007C7EF6" w:rsidRDefault="000819F5" w:rsidP="000819F5">
      <w:pPr>
        <w:ind w:left="567"/>
        <w:rPr>
          <w:rFonts w:ascii="Arial" w:hAnsi="Arial" w:cs="Arial"/>
          <w:b/>
          <w:bCs/>
          <w:sz w:val="22"/>
          <w:szCs w:val="22"/>
        </w:rPr>
      </w:pPr>
      <w:r w:rsidRPr="007C7EF6">
        <w:rPr>
          <w:rFonts w:ascii="Arial" w:hAnsi="Arial" w:cs="Arial"/>
          <w:b/>
          <w:bCs/>
          <w:sz w:val="22"/>
          <w:szCs w:val="22"/>
        </w:rPr>
        <w:t xml:space="preserve">Prescribing </w:t>
      </w:r>
    </w:p>
    <w:p w:rsidR="009745C9" w:rsidRPr="007C7EF6" w:rsidRDefault="007A6C2D" w:rsidP="00A515FB">
      <w:pPr>
        <w:ind w:left="567"/>
        <w:jc w:val="both"/>
        <w:rPr>
          <w:rFonts w:ascii="Arial" w:hAnsi="Arial" w:cs="Arial"/>
          <w:sz w:val="22"/>
          <w:szCs w:val="22"/>
        </w:rPr>
      </w:pPr>
      <w:r w:rsidRPr="007C7EF6">
        <w:rPr>
          <w:rFonts w:ascii="Arial" w:hAnsi="Arial" w:cs="Arial"/>
          <w:sz w:val="22"/>
          <w:szCs w:val="22"/>
        </w:rPr>
        <w:t>The year</w:t>
      </w:r>
      <w:r w:rsidR="00C37814" w:rsidRPr="007C7EF6">
        <w:rPr>
          <w:rFonts w:ascii="Arial" w:hAnsi="Arial" w:cs="Arial"/>
          <w:sz w:val="22"/>
          <w:szCs w:val="22"/>
        </w:rPr>
        <w:t xml:space="preserve"> </w:t>
      </w:r>
      <w:r w:rsidRPr="007C7EF6">
        <w:rPr>
          <w:rFonts w:ascii="Arial" w:hAnsi="Arial" w:cs="Arial"/>
          <w:sz w:val="22"/>
          <w:szCs w:val="22"/>
        </w:rPr>
        <w:t>to</w:t>
      </w:r>
      <w:r w:rsidR="00C37814" w:rsidRPr="007C7EF6">
        <w:rPr>
          <w:rFonts w:ascii="Arial" w:hAnsi="Arial" w:cs="Arial"/>
          <w:sz w:val="22"/>
          <w:szCs w:val="22"/>
        </w:rPr>
        <w:t xml:space="preserve"> </w:t>
      </w:r>
      <w:r w:rsidRPr="007C7EF6">
        <w:rPr>
          <w:rFonts w:ascii="Arial" w:hAnsi="Arial" w:cs="Arial"/>
          <w:sz w:val="22"/>
          <w:szCs w:val="22"/>
        </w:rPr>
        <w:t xml:space="preserve">date </w:t>
      </w:r>
      <w:r w:rsidR="00C37814" w:rsidRPr="007C7EF6">
        <w:rPr>
          <w:rFonts w:ascii="Arial" w:hAnsi="Arial" w:cs="Arial"/>
          <w:sz w:val="22"/>
          <w:szCs w:val="22"/>
        </w:rPr>
        <w:t>position</w:t>
      </w:r>
      <w:r w:rsidR="00CD5484" w:rsidRPr="007C7EF6">
        <w:rPr>
          <w:rFonts w:ascii="Arial" w:hAnsi="Arial" w:cs="Arial"/>
          <w:sz w:val="22"/>
          <w:szCs w:val="22"/>
        </w:rPr>
        <w:t xml:space="preserve"> on the </w:t>
      </w:r>
      <w:r w:rsidR="00D27651" w:rsidRPr="007C7EF6">
        <w:rPr>
          <w:rFonts w:ascii="Arial" w:hAnsi="Arial" w:cs="Arial"/>
          <w:sz w:val="22"/>
          <w:szCs w:val="22"/>
        </w:rPr>
        <w:t xml:space="preserve">prescribing budget is </w:t>
      </w:r>
      <w:proofErr w:type="gramStart"/>
      <w:r w:rsidR="00D27651" w:rsidRPr="007C7EF6">
        <w:rPr>
          <w:rFonts w:ascii="Arial" w:hAnsi="Arial" w:cs="Arial"/>
          <w:sz w:val="22"/>
          <w:szCs w:val="22"/>
        </w:rPr>
        <w:t>an underspend</w:t>
      </w:r>
      <w:proofErr w:type="gramEnd"/>
      <w:r w:rsidR="00D27651" w:rsidRPr="007C7EF6">
        <w:rPr>
          <w:rFonts w:ascii="Arial" w:hAnsi="Arial" w:cs="Arial"/>
          <w:sz w:val="22"/>
          <w:szCs w:val="22"/>
        </w:rPr>
        <w:t xml:space="preserve"> of £0.126m after ad</w:t>
      </w:r>
      <w:r w:rsidR="00704DE4" w:rsidRPr="007C7EF6">
        <w:rPr>
          <w:rFonts w:ascii="Arial" w:hAnsi="Arial" w:cs="Arial"/>
          <w:sz w:val="22"/>
          <w:szCs w:val="22"/>
        </w:rPr>
        <w:t>justing for</w:t>
      </w:r>
      <w:r w:rsidR="00E44BAD" w:rsidRPr="007C7EF6">
        <w:rPr>
          <w:rFonts w:ascii="Arial" w:hAnsi="Arial" w:cs="Arial"/>
          <w:sz w:val="22"/>
          <w:szCs w:val="22"/>
        </w:rPr>
        <w:t xml:space="preserve"> QIPP savings of £0.360</w:t>
      </w:r>
      <w:r w:rsidR="00A515FB" w:rsidRPr="007C7EF6">
        <w:rPr>
          <w:rFonts w:ascii="Arial" w:hAnsi="Arial" w:cs="Arial"/>
          <w:sz w:val="22"/>
          <w:szCs w:val="22"/>
        </w:rPr>
        <w:t xml:space="preserve">m. </w:t>
      </w:r>
      <w:r w:rsidRPr="007C7EF6">
        <w:rPr>
          <w:rFonts w:ascii="Arial" w:hAnsi="Arial" w:cs="Arial"/>
          <w:sz w:val="22"/>
          <w:szCs w:val="22"/>
        </w:rPr>
        <w:t xml:space="preserve">The year-end forecast </w:t>
      </w:r>
      <w:r w:rsidR="00EE6CEE" w:rsidRPr="007C7EF6">
        <w:rPr>
          <w:rFonts w:ascii="Arial" w:hAnsi="Arial" w:cs="Arial"/>
          <w:sz w:val="22"/>
          <w:szCs w:val="22"/>
        </w:rPr>
        <w:t>is breakeven.</w:t>
      </w:r>
    </w:p>
    <w:p w:rsidR="008420AD" w:rsidRPr="007C7EF6" w:rsidRDefault="008420AD" w:rsidP="009745C9">
      <w:pPr>
        <w:rPr>
          <w:rFonts w:ascii="Arial" w:hAnsi="Arial" w:cs="Arial"/>
          <w:b/>
          <w:sz w:val="22"/>
          <w:szCs w:val="22"/>
        </w:rPr>
      </w:pPr>
    </w:p>
    <w:p w:rsidR="00053400" w:rsidRPr="007C7EF6" w:rsidRDefault="00053400" w:rsidP="00053400">
      <w:pPr>
        <w:ind w:firstLine="567"/>
        <w:jc w:val="both"/>
        <w:rPr>
          <w:rFonts w:ascii="Arial" w:hAnsi="Arial" w:cs="Arial"/>
          <w:sz w:val="22"/>
          <w:szCs w:val="22"/>
        </w:rPr>
      </w:pPr>
      <w:r w:rsidRPr="007C7EF6">
        <w:rPr>
          <w:rFonts w:ascii="Arial" w:hAnsi="Arial" w:cs="Arial"/>
          <w:b/>
          <w:sz w:val="22"/>
          <w:szCs w:val="22"/>
        </w:rPr>
        <w:t xml:space="preserve">Appendix 6 </w:t>
      </w:r>
      <w:r w:rsidR="00CD5484" w:rsidRPr="007C7EF6">
        <w:rPr>
          <w:rFonts w:ascii="Arial" w:hAnsi="Arial" w:cs="Arial"/>
          <w:sz w:val="22"/>
          <w:szCs w:val="22"/>
        </w:rPr>
        <w:t xml:space="preserve">provides </w:t>
      </w:r>
      <w:r w:rsidRPr="007C7EF6">
        <w:rPr>
          <w:rFonts w:ascii="Arial" w:hAnsi="Arial" w:cs="Arial"/>
          <w:sz w:val="22"/>
          <w:szCs w:val="22"/>
        </w:rPr>
        <w:t>reconciliation to the forecast presented in the prescribing report.</w:t>
      </w:r>
    </w:p>
    <w:p w:rsidR="00053400" w:rsidRPr="007C7EF6" w:rsidRDefault="00053400" w:rsidP="00053400">
      <w:pPr>
        <w:ind w:firstLine="567"/>
        <w:jc w:val="both"/>
        <w:rPr>
          <w:rFonts w:ascii="Arial" w:hAnsi="Arial" w:cs="Arial"/>
          <w:sz w:val="22"/>
          <w:szCs w:val="22"/>
        </w:rPr>
      </w:pPr>
    </w:p>
    <w:p w:rsidR="009745C9" w:rsidRPr="007C7EF6" w:rsidRDefault="009745C9" w:rsidP="009745C9">
      <w:pPr>
        <w:ind w:left="567"/>
        <w:rPr>
          <w:rFonts w:ascii="Arial" w:hAnsi="Arial" w:cs="Arial"/>
          <w:b/>
          <w:sz w:val="22"/>
          <w:szCs w:val="22"/>
        </w:rPr>
      </w:pPr>
      <w:r w:rsidRPr="007C7EF6">
        <w:rPr>
          <w:rFonts w:ascii="Arial" w:hAnsi="Arial" w:cs="Arial"/>
          <w:b/>
          <w:sz w:val="22"/>
          <w:szCs w:val="22"/>
        </w:rPr>
        <w:lastRenderedPageBreak/>
        <w:t>Continuing Health Care and Funded Nursing Care</w:t>
      </w:r>
    </w:p>
    <w:p w:rsidR="009745C9" w:rsidRPr="007C7EF6" w:rsidRDefault="009745C9" w:rsidP="009745C9">
      <w:pPr>
        <w:rPr>
          <w:rFonts w:ascii="Arial" w:hAnsi="Arial" w:cs="Arial"/>
          <w:sz w:val="22"/>
          <w:szCs w:val="22"/>
        </w:rPr>
      </w:pPr>
    </w:p>
    <w:p w:rsidR="009745C9" w:rsidRDefault="009745C9" w:rsidP="009745C9">
      <w:pPr>
        <w:ind w:left="567"/>
        <w:rPr>
          <w:rFonts w:ascii="Arial" w:hAnsi="Arial" w:cs="Arial"/>
          <w:sz w:val="22"/>
          <w:szCs w:val="22"/>
        </w:rPr>
      </w:pPr>
      <w:r w:rsidRPr="007C7EF6">
        <w:rPr>
          <w:rFonts w:ascii="Arial" w:hAnsi="Arial" w:cs="Arial"/>
          <w:sz w:val="22"/>
          <w:szCs w:val="22"/>
        </w:rPr>
        <w:t xml:space="preserve">The </w:t>
      </w:r>
      <w:r w:rsidR="00BF1DDD" w:rsidRPr="007C7EF6">
        <w:rPr>
          <w:rFonts w:ascii="Arial" w:hAnsi="Arial" w:cs="Arial"/>
          <w:sz w:val="22"/>
          <w:szCs w:val="22"/>
        </w:rPr>
        <w:t>year</w:t>
      </w:r>
      <w:r w:rsidR="004C265A" w:rsidRPr="007C7EF6">
        <w:rPr>
          <w:rFonts w:ascii="Arial" w:hAnsi="Arial" w:cs="Arial"/>
          <w:sz w:val="22"/>
          <w:szCs w:val="22"/>
        </w:rPr>
        <w:t xml:space="preserve"> </w:t>
      </w:r>
      <w:r w:rsidR="00BF1DDD" w:rsidRPr="007C7EF6">
        <w:rPr>
          <w:rFonts w:ascii="Arial" w:hAnsi="Arial" w:cs="Arial"/>
          <w:sz w:val="22"/>
          <w:szCs w:val="22"/>
        </w:rPr>
        <w:t>to</w:t>
      </w:r>
      <w:r w:rsidR="004C265A" w:rsidRPr="007C7EF6">
        <w:rPr>
          <w:rFonts w:ascii="Arial" w:hAnsi="Arial" w:cs="Arial"/>
          <w:sz w:val="22"/>
          <w:szCs w:val="22"/>
        </w:rPr>
        <w:t xml:space="preserve"> </w:t>
      </w:r>
      <w:r w:rsidR="00BF1DDD" w:rsidRPr="007C7EF6">
        <w:rPr>
          <w:rFonts w:ascii="Arial" w:hAnsi="Arial" w:cs="Arial"/>
          <w:sz w:val="22"/>
          <w:szCs w:val="22"/>
        </w:rPr>
        <w:t xml:space="preserve">date </w:t>
      </w:r>
      <w:r w:rsidRPr="007C7EF6">
        <w:rPr>
          <w:rFonts w:ascii="Arial" w:hAnsi="Arial" w:cs="Arial"/>
          <w:sz w:val="22"/>
          <w:szCs w:val="22"/>
        </w:rPr>
        <w:t>position for the continuing care</w:t>
      </w:r>
      <w:r w:rsidR="00B31587" w:rsidRPr="007C7EF6">
        <w:rPr>
          <w:rFonts w:ascii="Arial" w:hAnsi="Arial" w:cs="Arial"/>
          <w:sz w:val="22"/>
          <w:szCs w:val="22"/>
        </w:rPr>
        <w:t xml:space="preserve"> and </w:t>
      </w:r>
      <w:r w:rsidR="00C37814" w:rsidRPr="007C7EF6">
        <w:rPr>
          <w:rFonts w:ascii="Arial" w:hAnsi="Arial" w:cs="Arial"/>
          <w:sz w:val="22"/>
          <w:szCs w:val="22"/>
        </w:rPr>
        <w:t>funded nursing care</w:t>
      </w:r>
      <w:r w:rsidR="005A2110" w:rsidRPr="007C7EF6">
        <w:rPr>
          <w:rFonts w:ascii="Arial" w:hAnsi="Arial" w:cs="Arial"/>
          <w:sz w:val="22"/>
          <w:szCs w:val="22"/>
        </w:rPr>
        <w:t xml:space="preserve"> (FNC)</w:t>
      </w:r>
      <w:r w:rsidRPr="007C7EF6">
        <w:rPr>
          <w:rFonts w:ascii="Arial" w:hAnsi="Arial" w:cs="Arial"/>
          <w:sz w:val="22"/>
          <w:szCs w:val="22"/>
        </w:rPr>
        <w:t xml:space="preserve"> budget is an overspend of £0.</w:t>
      </w:r>
      <w:r w:rsidR="00E44BAD" w:rsidRPr="007C7EF6">
        <w:rPr>
          <w:rFonts w:ascii="Arial" w:hAnsi="Arial" w:cs="Arial"/>
          <w:sz w:val="22"/>
          <w:szCs w:val="22"/>
        </w:rPr>
        <w:t>6</w:t>
      </w:r>
      <w:r w:rsidR="00CD5484" w:rsidRPr="007C7EF6">
        <w:rPr>
          <w:rFonts w:ascii="Arial" w:hAnsi="Arial" w:cs="Arial"/>
          <w:sz w:val="22"/>
          <w:szCs w:val="22"/>
        </w:rPr>
        <w:t>99</w:t>
      </w:r>
      <w:r w:rsidRPr="007C7EF6">
        <w:rPr>
          <w:rFonts w:ascii="Arial" w:hAnsi="Arial" w:cs="Arial"/>
          <w:sz w:val="22"/>
          <w:szCs w:val="22"/>
        </w:rPr>
        <w:t>m, which reflects the current number of patients,</w:t>
      </w:r>
      <w:r w:rsidRPr="008702B1">
        <w:rPr>
          <w:rFonts w:ascii="Arial" w:hAnsi="Arial" w:cs="Arial"/>
          <w:sz w:val="22"/>
          <w:szCs w:val="22"/>
        </w:rPr>
        <w:t xml:space="preserve"> average package costs</w:t>
      </w:r>
      <w:r w:rsidR="00704DE4">
        <w:rPr>
          <w:rFonts w:ascii="Arial" w:hAnsi="Arial" w:cs="Arial"/>
          <w:sz w:val="22"/>
          <w:szCs w:val="22"/>
        </w:rPr>
        <w:t>, the n</w:t>
      </w:r>
      <w:r w:rsidR="00B31587">
        <w:rPr>
          <w:rFonts w:ascii="Arial" w:hAnsi="Arial" w:cs="Arial"/>
          <w:sz w:val="22"/>
          <w:szCs w:val="22"/>
        </w:rPr>
        <w:t>ationally mandated FNC increase</w:t>
      </w:r>
      <w:r w:rsidR="00704DE4">
        <w:rPr>
          <w:rFonts w:ascii="Arial" w:hAnsi="Arial" w:cs="Arial"/>
          <w:sz w:val="22"/>
          <w:szCs w:val="22"/>
        </w:rPr>
        <w:t xml:space="preserve"> (£0.745m)</w:t>
      </w:r>
      <w:r w:rsidRPr="008702B1">
        <w:rPr>
          <w:rFonts w:ascii="Arial" w:hAnsi="Arial" w:cs="Arial"/>
          <w:sz w:val="22"/>
          <w:szCs w:val="22"/>
        </w:rPr>
        <w:t xml:space="preserve"> and </w:t>
      </w:r>
      <w:r>
        <w:rPr>
          <w:rFonts w:ascii="Arial" w:hAnsi="Arial" w:cs="Arial"/>
          <w:sz w:val="22"/>
          <w:szCs w:val="22"/>
        </w:rPr>
        <w:t xml:space="preserve">an uplift to </w:t>
      </w:r>
      <w:r w:rsidR="00853F7D">
        <w:rPr>
          <w:rFonts w:ascii="Arial" w:hAnsi="Arial" w:cs="Arial"/>
          <w:sz w:val="22"/>
          <w:szCs w:val="22"/>
        </w:rPr>
        <w:t xml:space="preserve">CHC </w:t>
      </w:r>
      <w:r>
        <w:rPr>
          <w:rFonts w:ascii="Arial" w:hAnsi="Arial" w:cs="Arial"/>
          <w:sz w:val="22"/>
          <w:szCs w:val="22"/>
        </w:rPr>
        <w:t>providers of 1.1%</w:t>
      </w:r>
      <w:r w:rsidRPr="008702B1">
        <w:rPr>
          <w:rFonts w:ascii="Arial" w:hAnsi="Arial" w:cs="Arial"/>
          <w:sz w:val="22"/>
          <w:szCs w:val="22"/>
        </w:rPr>
        <w:t xml:space="preserve"> until the end of the financial year</w:t>
      </w:r>
      <w:r w:rsidR="00352317">
        <w:rPr>
          <w:rFonts w:ascii="Arial" w:hAnsi="Arial" w:cs="Arial"/>
          <w:sz w:val="22"/>
          <w:szCs w:val="22"/>
        </w:rPr>
        <w:t xml:space="preserve"> which has been communicated</w:t>
      </w:r>
      <w:r w:rsidRPr="008702B1">
        <w:rPr>
          <w:rFonts w:ascii="Arial" w:hAnsi="Arial" w:cs="Arial"/>
          <w:sz w:val="22"/>
          <w:szCs w:val="22"/>
        </w:rPr>
        <w:t>.</w:t>
      </w:r>
    </w:p>
    <w:p w:rsidR="009745C9" w:rsidRDefault="009745C9" w:rsidP="009745C9">
      <w:pPr>
        <w:ind w:left="720"/>
        <w:rPr>
          <w:rFonts w:ascii="Arial" w:hAnsi="Arial" w:cs="Arial"/>
          <w:sz w:val="22"/>
          <w:szCs w:val="22"/>
        </w:rPr>
      </w:pPr>
    </w:p>
    <w:p w:rsidR="009745C9" w:rsidRDefault="004C265A" w:rsidP="009745C9">
      <w:pPr>
        <w:ind w:left="567"/>
        <w:rPr>
          <w:rFonts w:ascii="Arial" w:hAnsi="Arial" w:cs="Arial"/>
          <w:sz w:val="22"/>
          <w:szCs w:val="22"/>
        </w:rPr>
      </w:pPr>
      <w:r>
        <w:rPr>
          <w:rFonts w:ascii="Arial" w:hAnsi="Arial" w:cs="Arial"/>
          <w:sz w:val="22"/>
          <w:szCs w:val="22"/>
        </w:rPr>
        <w:t xml:space="preserve">Year </w:t>
      </w:r>
      <w:r w:rsidR="009745C9">
        <w:rPr>
          <w:rFonts w:ascii="Arial" w:hAnsi="Arial" w:cs="Arial"/>
          <w:sz w:val="22"/>
          <w:szCs w:val="22"/>
        </w:rPr>
        <w:t>to</w:t>
      </w:r>
      <w:r>
        <w:rPr>
          <w:rFonts w:ascii="Arial" w:hAnsi="Arial" w:cs="Arial"/>
          <w:sz w:val="22"/>
          <w:szCs w:val="22"/>
        </w:rPr>
        <w:t xml:space="preserve"> </w:t>
      </w:r>
      <w:r w:rsidR="009745C9">
        <w:rPr>
          <w:rFonts w:ascii="Arial" w:hAnsi="Arial" w:cs="Arial"/>
          <w:sz w:val="22"/>
          <w:szCs w:val="22"/>
        </w:rPr>
        <w:t xml:space="preserve">date QIPP savings have been </w:t>
      </w:r>
      <w:r w:rsidR="00B31587">
        <w:rPr>
          <w:rFonts w:ascii="Arial" w:hAnsi="Arial" w:cs="Arial"/>
          <w:sz w:val="22"/>
          <w:szCs w:val="22"/>
        </w:rPr>
        <w:t>actioned</w:t>
      </w:r>
      <w:r w:rsidR="009745C9">
        <w:rPr>
          <w:rFonts w:ascii="Arial" w:hAnsi="Arial" w:cs="Arial"/>
          <w:sz w:val="22"/>
          <w:szCs w:val="22"/>
        </w:rPr>
        <w:t xml:space="preserve"> against this budget to the value of £</w:t>
      </w:r>
      <w:r w:rsidR="005A2110">
        <w:rPr>
          <w:rFonts w:ascii="Arial" w:hAnsi="Arial" w:cs="Arial"/>
          <w:sz w:val="22"/>
          <w:szCs w:val="22"/>
        </w:rPr>
        <w:t>1</w:t>
      </w:r>
      <w:r w:rsidR="009745C9">
        <w:rPr>
          <w:rFonts w:ascii="Arial" w:hAnsi="Arial" w:cs="Arial"/>
          <w:sz w:val="22"/>
          <w:szCs w:val="22"/>
        </w:rPr>
        <w:t>.</w:t>
      </w:r>
      <w:r w:rsidR="005A2110">
        <w:rPr>
          <w:rFonts w:ascii="Arial" w:hAnsi="Arial" w:cs="Arial"/>
          <w:sz w:val="22"/>
          <w:szCs w:val="22"/>
        </w:rPr>
        <w:t>025</w:t>
      </w:r>
      <w:r w:rsidR="009745C9">
        <w:rPr>
          <w:rFonts w:ascii="Arial" w:hAnsi="Arial" w:cs="Arial"/>
          <w:sz w:val="22"/>
          <w:szCs w:val="22"/>
        </w:rPr>
        <w:t>m</w:t>
      </w:r>
      <w:r w:rsidR="00B31587">
        <w:rPr>
          <w:rFonts w:ascii="Arial" w:hAnsi="Arial" w:cs="Arial"/>
          <w:sz w:val="22"/>
          <w:szCs w:val="22"/>
        </w:rPr>
        <w:t>,</w:t>
      </w:r>
      <w:r w:rsidR="009745C9">
        <w:rPr>
          <w:rFonts w:ascii="Arial" w:hAnsi="Arial" w:cs="Arial"/>
          <w:sz w:val="22"/>
          <w:szCs w:val="22"/>
        </w:rPr>
        <w:t xml:space="preserve"> relating to the additional growth budget of 5% included at budget setting</w:t>
      </w:r>
      <w:r w:rsidR="00147C9C">
        <w:rPr>
          <w:rFonts w:ascii="Arial" w:hAnsi="Arial" w:cs="Arial"/>
          <w:sz w:val="22"/>
          <w:szCs w:val="22"/>
        </w:rPr>
        <w:t xml:space="preserve"> and other efficiencies relating to prior year charges</w:t>
      </w:r>
      <w:r w:rsidR="009745C9">
        <w:rPr>
          <w:rFonts w:ascii="Arial" w:hAnsi="Arial" w:cs="Arial"/>
          <w:sz w:val="22"/>
          <w:szCs w:val="22"/>
        </w:rPr>
        <w:t xml:space="preserve">. </w:t>
      </w:r>
      <w:r w:rsidR="009745C9" w:rsidRPr="00412962">
        <w:rPr>
          <w:rFonts w:ascii="Arial" w:hAnsi="Arial" w:cs="Arial"/>
          <w:sz w:val="22"/>
          <w:szCs w:val="22"/>
        </w:rPr>
        <w:t xml:space="preserve">The forecast financial position is taken </w:t>
      </w:r>
      <w:r w:rsidR="009745C9">
        <w:rPr>
          <w:rFonts w:ascii="Arial" w:hAnsi="Arial" w:cs="Arial"/>
          <w:sz w:val="22"/>
          <w:szCs w:val="22"/>
        </w:rPr>
        <w:t>following this budget reduction, and has been included in the QIPP plan for 2016/17.</w:t>
      </w:r>
    </w:p>
    <w:p w:rsidR="008E42A5" w:rsidRDefault="008E42A5" w:rsidP="009745C9">
      <w:pPr>
        <w:ind w:left="567"/>
        <w:rPr>
          <w:rFonts w:ascii="Arial" w:hAnsi="Arial" w:cs="Arial"/>
          <w:sz w:val="22"/>
          <w:szCs w:val="22"/>
        </w:rPr>
      </w:pPr>
    </w:p>
    <w:p w:rsidR="00B31587" w:rsidRDefault="00B65B58" w:rsidP="00B31587">
      <w:pPr>
        <w:ind w:left="567"/>
        <w:rPr>
          <w:rFonts w:ascii="Arial" w:hAnsi="Arial" w:cs="Arial"/>
          <w:sz w:val="22"/>
          <w:szCs w:val="22"/>
        </w:rPr>
      </w:pPr>
      <w:r>
        <w:rPr>
          <w:rFonts w:ascii="Arial" w:hAnsi="Arial" w:cs="Arial"/>
          <w:sz w:val="22"/>
          <w:szCs w:val="22"/>
        </w:rPr>
        <w:t xml:space="preserve">The full year forecast is </w:t>
      </w:r>
      <w:proofErr w:type="gramStart"/>
      <w:r w:rsidR="00D462F5">
        <w:rPr>
          <w:rFonts w:ascii="Arial" w:hAnsi="Arial" w:cs="Arial"/>
          <w:sz w:val="22"/>
          <w:szCs w:val="22"/>
        </w:rPr>
        <w:t>an overspend</w:t>
      </w:r>
      <w:proofErr w:type="gramEnd"/>
      <w:r w:rsidR="00D462F5">
        <w:rPr>
          <w:rFonts w:ascii="Arial" w:hAnsi="Arial" w:cs="Arial"/>
          <w:sz w:val="22"/>
          <w:szCs w:val="22"/>
        </w:rPr>
        <w:t xml:space="preserve"> of £</w:t>
      </w:r>
      <w:r w:rsidR="00CD5484">
        <w:rPr>
          <w:rFonts w:ascii="Arial" w:hAnsi="Arial" w:cs="Arial"/>
          <w:sz w:val="22"/>
          <w:szCs w:val="22"/>
        </w:rPr>
        <w:t>1</w:t>
      </w:r>
      <w:r w:rsidR="00D462F5">
        <w:rPr>
          <w:rFonts w:ascii="Arial" w:hAnsi="Arial" w:cs="Arial"/>
          <w:sz w:val="22"/>
          <w:szCs w:val="22"/>
        </w:rPr>
        <w:t>.</w:t>
      </w:r>
      <w:r w:rsidR="00CD5484">
        <w:rPr>
          <w:rFonts w:ascii="Arial" w:hAnsi="Arial" w:cs="Arial"/>
          <w:sz w:val="22"/>
          <w:szCs w:val="22"/>
        </w:rPr>
        <w:t>04</w:t>
      </w:r>
      <w:r w:rsidR="005A533A">
        <w:rPr>
          <w:rFonts w:ascii="Arial" w:hAnsi="Arial" w:cs="Arial"/>
          <w:sz w:val="22"/>
          <w:szCs w:val="22"/>
        </w:rPr>
        <w:t>8</w:t>
      </w:r>
      <w:r w:rsidR="00E44BAD">
        <w:rPr>
          <w:rFonts w:ascii="Arial" w:hAnsi="Arial" w:cs="Arial"/>
          <w:sz w:val="22"/>
          <w:szCs w:val="22"/>
        </w:rPr>
        <w:t>m</w:t>
      </w:r>
      <w:r w:rsidR="00D462F5">
        <w:rPr>
          <w:rFonts w:ascii="Arial" w:hAnsi="Arial" w:cs="Arial"/>
          <w:sz w:val="22"/>
          <w:szCs w:val="22"/>
        </w:rPr>
        <w:t xml:space="preserve"> </w:t>
      </w:r>
      <w:r w:rsidR="00B31587">
        <w:rPr>
          <w:rFonts w:ascii="Arial" w:hAnsi="Arial" w:cs="Arial"/>
          <w:sz w:val="22"/>
          <w:szCs w:val="22"/>
        </w:rPr>
        <w:t>mainly</w:t>
      </w:r>
      <w:r w:rsidR="00E44BAD">
        <w:rPr>
          <w:rFonts w:ascii="Arial" w:hAnsi="Arial" w:cs="Arial"/>
          <w:sz w:val="22"/>
          <w:szCs w:val="22"/>
        </w:rPr>
        <w:t xml:space="preserve"> due</w:t>
      </w:r>
      <w:r w:rsidR="00B31587">
        <w:rPr>
          <w:rFonts w:ascii="Arial" w:hAnsi="Arial" w:cs="Arial"/>
          <w:sz w:val="22"/>
          <w:szCs w:val="22"/>
        </w:rPr>
        <w:t xml:space="preserve"> to the</w:t>
      </w:r>
      <w:r w:rsidR="005A2110">
        <w:rPr>
          <w:rFonts w:ascii="Arial" w:hAnsi="Arial" w:cs="Arial"/>
          <w:sz w:val="22"/>
          <w:szCs w:val="22"/>
        </w:rPr>
        <w:t xml:space="preserve"> increased costs </w:t>
      </w:r>
      <w:r w:rsidR="00D462F5">
        <w:rPr>
          <w:rFonts w:ascii="Arial" w:hAnsi="Arial" w:cs="Arial"/>
          <w:sz w:val="22"/>
          <w:szCs w:val="22"/>
        </w:rPr>
        <w:t>in respect to</w:t>
      </w:r>
      <w:r w:rsidR="008E42A5" w:rsidRPr="00147C9C">
        <w:rPr>
          <w:rFonts w:ascii="Arial" w:hAnsi="Arial" w:cs="Arial"/>
          <w:sz w:val="22"/>
          <w:szCs w:val="22"/>
        </w:rPr>
        <w:t xml:space="preserve"> Funded Nursing Care </w:t>
      </w:r>
      <w:r w:rsidR="00D462F5">
        <w:rPr>
          <w:rFonts w:ascii="Arial" w:hAnsi="Arial" w:cs="Arial"/>
          <w:sz w:val="22"/>
          <w:szCs w:val="22"/>
        </w:rPr>
        <w:t>of £0.7</w:t>
      </w:r>
      <w:r w:rsidR="004C265A">
        <w:rPr>
          <w:rFonts w:ascii="Arial" w:hAnsi="Arial" w:cs="Arial"/>
          <w:sz w:val="22"/>
          <w:szCs w:val="22"/>
        </w:rPr>
        <w:t>45</w:t>
      </w:r>
      <w:r w:rsidR="00D462F5">
        <w:rPr>
          <w:rFonts w:ascii="Arial" w:hAnsi="Arial" w:cs="Arial"/>
          <w:sz w:val="22"/>
          <w:szCs w:val="22"/>
        </w:rPr>
        <w:t xml:space="preserve">m. These </w:t>
      </w:r>
      <w:r w:rsidR="00704DE4">
        <w:rPr>
          <w:rFonts w:ascii="Arial" w:hAnsi="Arial" w:cs="Arial"/>
          <w:sz w:val="22"/>
          <w:szCs w:val="22"/>
        </w:rPr>
        <w:t xml:space="preserve">costs </w:t>
      </w:r>
      <w:r w:rsidR="00D462F5">
        <w:rPr>
          <w:rFonts w:ascii="Arial" w:hAnsi="Arial" w:cs="Arial"/>
          <w:sz w:val="22"/>
          <w:szCs w:val="22"/>
        </w:rPr>
        <w:t xml:space="preserve">are </w:t>
      </w:r>
      <w:r w:rsidR="007E3A99" w:rsidRPr="00147C9C">
        <w:rPr>
          <w:rFonts w:ascii="Arial" w:hAnsi="Arial" w:cs="Arial"/>
          <w:sz w:val="22"/>
          <w:szCs w:val="22"/>
        </w:rPr>
        <w:t>included within the CCG forecast position.</w:t>
      </w:r>
    </w:p>
    <w:p w:rsidR="0048452D" w:rsidRDefault="0048452D">
      <w:pPr>
        <w:rPr>
          <w:rFonts w:ascii="Arial" w:hAnsi="Arial" w:cs="Arial"/>
          <w:sz w:val="22"/>
          <w:szCs w:val="22"/>
        </w:rPr>
      </w:pPr>
    </w:p>
    <w:p w:rsidR="00352317" w:rsidRDefault="00352317" w:rsidP="009A1185">
      <w:pPr>
        <w:rPr>
          <w:rFonts w:ascii="Arial" w:hAnsi="Arial" w:cs="Arial"/>
          <w:sz w:val="22"/>
          <w:szCs w:val="22"/>
        </w:rPr>
      </w:pPr>
    </w:p>
    <w:p w:rsidR="00BB7C3B" w:rsidRPr="00053400" w:rsidRDefault="00A515FB" w:rsidP="008420AD">
      <w:pPr>
        <w:numPr>
          <w:ilvl w:val="0"/>
          <w:numId w:val="1"/>
        </w:numPr>
        <w:shd w:val="clear" w:color="auto" w:fill="D9D9D9"/>
        <w:jc w:val="both"/>
        <w:rPr>
          <w:rFonts w:ascii="Arial" w:hAnsi="Arial" w:cs="Arial"/>
          <w:b/>
          <w:sz w:val="22"/>
          <w:szCs w:val="22"/>
        </w:rPr>
      </w:pPr>
      <w:r>
        <w:rPr>
          <w:rFonts w:ascii="Arial" w:hAnsi="Arial" w:cs="Arial"/>
          <w:b/>
          <w:sz w:val="22"/>
          <w:szCs w:val="22"/>
        </w:rPr>
        <w:t xml:space="preserve">   </w:t>
      </w:r>
      <w:r w:rsidR="008420AD" w:rsidRPr="00053400">
        <w:rPr>
          <w:rFonts w:ascii="Arial" w:hAnsi="Arial" w:cs="Arial"/>
          <w:b/>
          <w:sz w:val="22"/>
          <w:szCs w:val="22"/>
        </w:rPr>
        <w:t xml:space="preserve">QIPP </w:t>
      </w:r>
    </w:p>
    <w:p w:rsidR="00BB7C3B" w:rsidRDefault="00BB7C3B" w:rsidP="00AD38C8">
      <w:pPr>
        <w:ind w:left="567" w:hanging="567"/>
        <w:jc w:val="both"/>
        <w:rPr>
          <w:rFonts w:ascii="Arial" w:hAnsi="Arial" w:cs="Arial"/>
          <w:b/>
          <w:sz w:val="22"/>
          <w:szCs w:val="22"/>
        </w:rPr>
      </w:pPr>
    </w:p>
    <w:p w:rsidR="008420AD" w:rsidRDefault="008420AD" w:rsidP="00877940">
      <w:pPr>
        <w:ind w:left="567"/>
        <w:jc w:val="both"/>
        <w:rPr>
          <w:rFonts w:ascii="Arial" w:hAnsi="Arial" w:cs="Arial"/>
          <w:sz w:val="22"/>
          <w:szCs w:val="22"/>
        </w:rPr>
      </w:pPr>
      <w:r>
        <w:rPr>
          <w:rFonts w:ascii="Arial" w:hAnsi="Arial" w:cs="Arial"/>
          <w:sz w:val="22"/>
          <w:szCs w:val="22"/>
        </w:rPr>
        <w:t>The</w:t>
      </w:r>
      <w:r w:rsidRPr="00682E22">
        <w:rPr>
          <w:rFonts w:ascii="Arial" w:hAnsi="Arial" w:cs="Arial"/>
          <w:sz w:val="22"/>
          <w:szCs w:val="22"/>
        </w:rPr>
        <w:t xml:space="preserve"> </w:t>
      </w:r>
      <w:r>
        <w:rPr>
          <w:rFonts w:ascii="Arial" w:hAnsi="Arial" w:cs="Arial"/>
          <w:sz w:val="22"/>
          <w:szCs w:val="22"/>
        </w:rPr>
        <w:t xml:space="preserve">2016/17 identified </w:t>
      </w:r>
      <w:r w:rsidRPr="00682E22">
        <w:rPr>
          <w:rFonts w:ascii="Arial" w:hAnsi="Arial" w:cs="Arial"/>
          <w:sz w:val="22"/>
          <w:szCs w:val="22"/>
        </w:rPr>
        <w:t xml:space="preserve">QIPP </w:t>
      </w:r>
      <w:r>
        <w:rPr>
          <w:rFonts w:ascii="Arial" w:hAnsi="Arial" w:cs="Arial"/>
          <w:sz w:val="22"/>
          <w:szCs w:val="22"/>
        </w:rPr>
        <w:t xml:space="preserve">plan </w:t>
      </w:r>
      <w:r w:rsidRPr="002D205E">
        <w:rPr>
          <w:rFonts w:ascii="Arial" w:hAnsi="Arial" w:cs="Arial"/>
          <w:sz w:val="22"/>
          <w:szCs w:val="22"/>
        </w:rPr>
        <w:t xml:space="preserve">is </w:t>
      </w:r>
      <w:r w:rsidRPr="003331DD">
        <w:rPr>
          <w:rFonts w:ascii="Arial" w:hAnsi="Arial" w:cs="Arial"/>
          <w:b/>
          <w:sz w:val="22"/>
          <w:szCs w:val="22"/>
        </w:rPr>
        <w:t>£10.</w:t>
      </w:r>
      <w:r w:rsidR="009471DD">
        <w:rPr>
          <w:rFonts w:ascii="Arial" w:hAnsi="Arial" w:cs="Arial"/>
          <w:b/>
          <w:sz w:val="22"/>
          <w:szCs w:val="22"/>
        </w:rPr>
        <w:t>384</w:t>
      </w:r>
      <w:r w:rsidRPr="003331DD">
        <w:rPr>
          <w:rFonts w:ascii="Arial" w:hAnsi="Arial" w:cs="Arial"/>
          <w:b/>
          <w:sz w:val="22"/>
          <w:szCs w:val="22"/>
        </w:rPr>
        <w:t>m</w:t>
      </w:r>
      <w:r>
        <w:rPr>
          <w:rFonts w:ascii="Arial" w:hAnsi="Arial" w:cs="Arial"/>
          <w:b/>
          <w:sz w:val="22"/>
          <w:szCs w:val="22"/>
        </w:rPr>
        <w:t>.</w:t>
      </w:r>
      <w:r>
        <w:rPr>
          <w:rFonts w:ascii="Arial" w:hAnsi="Arial" w:cs="Arial"/>
          <w:sz w:val="22"/>
          <w:szCs w:val="22"/>
        </w:rPr>
        <w:t xml:space="preserve">  This plan has been phased across the year on a scheme </w:t>
      </w:r>
      <w:r w:rsidR="007C45A2">
        <w:rPr>
          <w:rFonts w:ascii="Arial" w:hAnsi="Arial" w:cs="Arial"/>
          <w:sz w:val="22"/>
          <w:szCs w:val="22"/>
        </w:rPr>
        <w:t>by scheme basis and full detail</w:t>
      </w:r>
      <w:r>
        <w:rPr>
          <w:rFonts w:ascii="Arial" w:hAnsi="Arial" w:cs="Arial"/>
          <w:sz w:val="22"/>
          <w:szCs w:val="22"/>
        </w:rPr>
        <w:t xml:space="preserve"> of progress at scheme level is monitored at the QIPP committee. </w:t>
      </w:r>
    </w:p>
    <w:p w:rsidR="008420AD" w:rsidRDefault="008420AD" w:rsidP="00877940">
      <w:pPr>
        <w:ind w:left="567"/>
        <w:jc w:val="both"/>
        <w:rPr>
          <w:rFonts w:ascii="Arial" w:hAnsi="Arial" w:cs="Arial"/>
          <w:sz w:val="22"/>
          <w:szCs w:val="22"/>
        </w:rPr>
      </w:pPr>
    </w:p>
    <w:p w:rsidR="00D462F5" w:rsidRDefault="008420AD" w:rsidP="00347E16">
      <w:pPr>
        <w:ind w:left="567"/>
        <w:jc w:val="both"/>
        <w:rPr>
          <w:rFonts w:ascii="Arial" w:hAnsi="Arial" w:cs="Arial"/>
          <w:sz w:val="22"/>
          <w:szCs w:val="22"/>
        </w:rPr>
      </w:pPr>
      <w:r w:rsidRPr="00A518D0">
        <w:rPr>
          <w:rFonts w:ascii="Arial" w:hAnsi="Arial" w:cs="Arial"/>
          <w:b/>
          <w:sz w:val="22"/>
          <w:szCs w:val="22"/>
        </w:rPr>
        <w:t>Table B</w:t>
      </w:r>
      <w:r>
        <w:rPr>
          <w:rFonts w:ascii="Arial" w:hAnsi="Arial" w:cs="Arial"/>
          <w:sz w:val="22"/>
          <w:szCs w:val="22"/>
        </w:rPr>
        <w:t xml:space="preserve"> shows a summary of the current risk rated QIPP plan approved at the G</w:t>
      </w:r>
      <w:r w:rsidR="008E42A5">
        <w:rPr>
          <w:rFonts w:ascii="Arial" w:hAnsi="Arial" w:cs="Arial"/>
          <w:sz w:val="22"/>
          <w:szCs w:val="22"/>
        </w:rPr>
        <w:t xml:space="preserve">overning </w:t>
      </w:r>
      <w:r>
        <w:rPr>
          <w:rFonts w:ascii="Arial" w:hAnsi="Arial" w:cs="Arial"/>
          <w:sz w:val="22"/>
          <w:szCs w:val="22"/>
        </w:rPr>
        <w:t>B</w:t>
      </w:r>
      <w:r w:rsidR="008E42A5">
        <w:rPr>
          <w:rFonts w:ascii="Arial" w:hAnsi="Arial" w:cs="Arial"/>
          <w:sz w:val="22"/>
          <w:szCs w:val="22"/>
        </w:rPr>
        <w:t>ody</w:t>
      </w:r>
      <w:r>
        <w:rPr>
          <w:rFonts w:ascii="Arial" w:hAnsi="Arial" w:cs="Arial"/>
          <w:sz w:val="22"/>
          <w:szCs w:val="22"/>
        </w:rPr>
        <w:t xml:space="preserve"> in May 2016. This demonstrates that although recurrently there are a significant number of schemes in place, further work is </w:t>
      </w:r>
      <w:r w:rsidR="00352317">
        <w:rPr>
          <w:rFonts w:ascii="Arial" w:hAnsi="Arial" w:cs="Arial"/>
          <w:sz w:val="22"/>
          <w:szCs w:val="22"/>
        </w:rPr>
        <w:t>being done</w:t>
      </w:r>
      <w:r>
        <w:rPr>
          <w:rFonts w:ascii="Arial" w:hAnsi="Arial" w:cs="Arial"/>
          <w:sz w:val="22"/>
          <w:szCs w:val="22"/>
        </w:rPr>
        <w:t xml:space="preserve"> to </w:t>
      </w:r>
      <w:r w:rsidR="00695A51">
        <w:rPr>
          <w:rFonts w:ascii="Arial" w:hAnsi="Arial" w:cs="Arial"/>
          <w:sz w:val="22"/>
          <w:szCs w:val="22"/>
        </w:rPr>
        <w:t>determine whether they can be delivered</w:t>
      </w:r>
      <w:r w:rsidR="00D55D3C">
        <w:rPr>
          <w:rFonts w:ascii="Arial" w:hAnsi="Arial" w:cs="Arial"/>
          <w:sz w:val="22"/>
          <w:szCs w:val="22"/>
        </w:rPr>
        <w:t xml:space="preserve"> in full</w:t>
      </w:r>
      <w:r w:rsidR="00695A51">
        <w:rPr>
          <w:rFonts w:ascii="Arial" w:hAnsi="Arial" w:cs="Arial"/>
          <w:sz w:val="22"/>
          <w:szCs w:val="22"/>
        </w:rPr>
        <w:t>.</w:t>
      </w:r>
      <w:r>
        <w:rPr>
          <w:rFonts w:ascii="Arial" w:hAnsi="Arial" w:cs="Arial"/>
          <w:sz w:val="22"/>
          <w:szCs w:val="22"/>
        </w:rPr>
        <w:t xml:space="preserve"> </w:t>
      </w:r>
      <w:r w:rsidR="007C45A2">
        <w:rPr>
          <w:rFonts w:ascii="Arial" w:hAnsi="Arial" w:cs="Arial"/>
          <w:sz w:val="22"/>
          <w:szCs w:val="22"/>
        </w:rPr>
        <w:t xml:space="preserve">The detailed QIPP plan is shown </w:t>
      </w:r>
      <w:r w:rsidR="007C45A2" w:rsidRPr="007C45A2">
        <w:rPr>
          <w:rFonts w:ascii="Arial" w:hAnsi="Arial" w:cs="Arial"/>
          <w:sz w:val="22"/>
          <w:szCs w:val="22"/>
        </w:rPr>
        <w:t>in Appendix 3</w:t>
      </w:r>
      <w:r w:rsidR="007C45A2">
        <w:rPr>
          <w:rFonts w:ascii="Arial" w:hAnsi="Arial" w:cs="Arial"/>
          <w:sz w:val="22"/>
          <w:szCs w:val="22"/>
        </w:rPr>
        <w:t xml:space="preserve"> and is projected to deliver </w:t>
      </w:r>
      <w:r w:rsidR="007C45A2" w:rsidRPr="007C45A2">
        <w:rPr>
          <w:rFonts w:ascii="Arial" w:hAnsi="Arial" w:cs="Arial"/>
          <w:b/>
          <w:sz w:val="22"/>
          <w:szCs w:val="22"/>
        </w:rPr>
        <w:t>£</w:t>
      </w:r>
      <w:r w:rsidR="005D0387">
        <w:rPr>
          <w:rFonts w:ascii="Arial" w:hAnsi="Arial" w:cs="Arial"/>
          <w:b/>
          <w:sz w:val="22"/>
          <w:szCs w:val="22"/>
        </w:rPr>
        <w:t>6</w:t>
      </w:r>
      <w:r w:rsidR="007C45A2" w:rsidRPr="007C45A2">
        <w:rPr>
          <w:rFonts w:ascii="Arial" w:hAnsi="Arial" w:cs="Arial"/>
          <w:b/>
          <w:sz w:val="22"/>
          <w:szCs w:val="22"/>
        </w:rPr>
        <w:t>.</w:t>
      </w:r>
      <w:r w:rsidR="00D27651">
        <w:rPr>
          <w:rFonts w:ascii="Arial" w:hAnsi="Arial" w:cs="Arial"/>
          <w:b/>
          <w:sz w:val="22"/>
          <w:szCs w:val="22"/>
        </w:rPr>
        <w:t>351</w:t>
      </w:r>
      <w:r w:rsidR="007C45A2" w:rsidRPr="007C45A2">
        <w:rPr>
          <w:rFonts w:ascii="Arial" w:hAnsi="Arial" w:cs="Arial"/>
          <w:b/>
          <w:sz w:val="22"/>
          <w:szCs w:val="22"/>
        </w:rPr>
        <w:t>m</w:t>
      </w:r>
      <w:r w:rsidR="007C45A2">
        <w:rPr>
          <w:rFonts w:ascii="Arial" w:hAnsi="Arial" w:cs="Arial"/>
          <w:sz w:val="22"/>
          <w:szCs w:val="22"/>
        </w:rPr>
        <w:t xml:space="preserve"> in total during the year</w:t>
      </w:r>
      <w:r w:rsidR="00D55D3C">
        <w:rPr>
          <w:rFonts w:ascii="Arial" w:hAnsi="Arial" w:cs="Arial"/>
          <w:sz w:val="22"/>
          <w:szCs w:val="22"/>
        </w:rPr>
        <w:t>.</w:t>
      </w:r>
    </w:p>
    <w:p w:rsidR="00347E16" w:rsidRDefault="00347E16" w:rsidP="00347E16">
      <w:pPr>
        <w:ind w:left="567"/>
        <w:jc w:val="both"/>
        <w:rPr>
          <w:rFonts w:ascii="Arial" w:hAnsi="Arial" w:cs="Arial"/>
          <w:sz w:val="22"/>
          <w:szCs w:val="22"/>
        </w:rPr>
      </w:pPr>
    </w:p>
    <w:p w:rsidR="008420AD" w:rsidRDefault="008420AD" w:rsidP="00D462F5">
      <w:pPr>
        <w:ind w:firstLine="567"/>
        <w:jc w:val="both"/>
        <w:rPr>
          <w:rFonts w:ascii="Arial" w:hAnsi="Arial" w:cs="Arial"/>
          <w:b/>
          <w:sz w:val="22"/>
          <w:szCs w:val="22"/>
        </w:rPr>
      </w:pPr>
      <w:r w:rsidRPr="00EF0BC6">
        <w:rPr>
          <w:rFonts w:ascii="Arial" w:hAnsi="Arial" w:cs="Arial"/>
          <w:b/>
          <w:sz w:val="22"/>
          <w:szCs w:val="22"/>
        </w:rPr>
        <w:t>Table B: RAG rated QIPP plan</w:t>
      </w:r>
    </w:p>
    <w:p w:rsidR="00695A51" w:rsidRPr="00D462F5" w:rsidRDefault="00695A51" w:rsidP="00D462F5">
      <w:pPr>
        <w:ind w:firstLine="567"/>
        <w:jc w:val="both"/>
        <w:rPr>
          <w:rFonts w:ascii="Arial" w:hAnsi="Arial" w:cs="Arial"/>
          <w:b/>
          <w:sz w:val="22"/>
          <w:szCs w:val="22"/>
        </w:rPr>
      </w:pPr>
    </w:p>
    <w:p w:rsidR="00606916" w:rsidRDefault="00D27651" w:rsidP="008E42A5">
      <w:pPr>
        <w:ind w:left="567"/>
        <w:jc w:val="both"/>
        <w:rPr>
          <w:rFonts w:ascii="Arial" w:hAnsi="Arial" w:cs="Arial"/>
          <w:sz w:val="22"/>
          <w:szCs w:val="22"/>
        </w:rPr>
      </w:pPr>
      <w:r w:rsidRPr="00D27651">
        <w:rPr>
          <w:noProof/>
        </w:rPr>
        <w:drawing>
          <wp:inline distT="0" distB="0" distL="0" distR="0" wp14:anchorId="139AA259" wp14:editId="2E52E3CF">
            <wp:extent cx="6120130" cy="15089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1508945"/>
                    </a:xfrm>
                    <a:prstGeom prst="rect">
                      <a:avLst/>
                    </a:prstGeom>
                    <a:noFill/>
                    <a:ln>
                      <a:noFill/>
                    </a:ln>
                  </pic:spPr>
                </pic:pic>
              </a:graphicData>
            </a:graphic>
          </wp:inline>
        </w:drawing>
      </w:r>
    </w:p>
    <w:p w:rsidR="008420AD" w:rsidRDefault="008420AD" w:rsidP="008420AD">
      <w:pPr>
        <w:jc w:val="both"/>
        <w:rPr>
          <w:rFonts w:ascii="Arial" w:hAnsi="Arial" w:cs="Arial"/>
          <w:sz w:val="22"/>
          <w:szCs w:val="22"/>
        </w:rPr>
      </w:pPr>
    </w:p>
    <w:p w:rsidR="00D10A7F" w:rsidRDefault="00F93E4B" w:rsidP="00045153">
      <w:pPr>
        <w:ind w:left="567"/>
        <w:jc w:val="both"/>
        <w:rPr>
          <w:rFonts w:ascii="Arial" w:hAnsi="Arial" w:cs="Arial"/>
          <w:sz w:val="22"/>
          <w:szCs w:val="22"/>
        </w:rPr>
      </w:pPr>
      <w:r>
        <w:rPr>
          <w:rFonts w:ascii="Arial" w:hAnsi="Arial" w:cs="Arial"/>
          <w:sz w:val="22"/>
          <w:szCs w:val="22"/>
        </w:rPr>
        <w:t xml:space="preserve">As shown in </w:t>
      </w:r>
      <w:r w:rsidRPr="007C45A2">
        <w:rPr>
          <w:rFonts w:ascii="Arial" w:hAnsi="Arial" w:cs="Arial"/>
          <w:b/>
          <w:sz w:val="22"/>
          <w:szCs w:val="22"/>
        </w:rPr>
        <w:t>Table C</w:t>
      </w:r>
      <w:r>
        <w:rPr>
          <w:rFonts w:ascii="Arial" w:hAnsi="Arial" w:cs="Arial"/>
          <w:sz w:val="22"/>
          <w:szCs w:val="22"/>
        </w:rPr>
        <w:t xml:space="preserve"> and </w:t>
      </w:r>
      <w:r w:rsidRPr="007C45A2">
        <w:rPr>
          <w:rFonts w:ascii="Arial" w:hAnsi="Arial" w:cs="Arial"/>
          <w:b/>
          <w:sz w:val="22"/>
          <w:szCs w:val="22"/>
        </w:rPr>
        <w:t>G</w:t>
      </w:r>
      <w:r w:rsidR="008420AD" w:rsidRPr="007C45A2">
        <w:rPr>
          <w:rFonts w:ascii="Arial" w:hAnsi="Arial" w:cs="Arial"/>
          <w:b/>
          <w:sz w:val="22"/>
          <w:szCs w:val="22"/>
        </w:rPr>
        <w:t xml:space="preserve">raph </w:t>
      </w:r>
      <w:r w:rsidRPr="007C45A2">
        <w:rPr>
          <w:rFonts w:ascii="Arial" w:hAnsi="Arial" w:cs="Arial"/>
          <w:b/>
          <w:sz w:val="22"/>
          <w:szCs w:val="22"/>
        </w:rPr>
        <w:t>8</w:t>
      </w:r>
      <w:r w:rsidR="008420AD">
        <w:rPr>
          <w:rFonts w:ascii="Arial" w:hAnsi="Arial" w:cs="Arial"/>
          <w:sz w:val="22"/>
          <w:szCs w:val="22"/>
        </w:rPr>
        <w:t xml:space="preserve"> </w:t>
      </w:r>
      <w:r w:rsidR="009A1185">
        <w:rPr>
          <w:rFonts w:ascii="Arial" w:hAnsi="Arial" w:cs="Arial"/>
          <w:sz w:val="22"/>
          <w:szCs w:val="22"/>
        </w:rPr>
        <w:t>below</w:t>
      </w:r>
      <w:r w:rsidR="007C45A2">
        <w:rPr>
          <w:rFonts w:ascii="Arial" w:hAnsi="Arial" w:cs="Arial"/>
          <w:sz w:val="22"/>
          <w:szCs w:val="22"/>
        </w:rPr>
        <w:t>,</w:t>
      </w:r>
      <w:r w:rsidR="008420AD" w:rsidRPr="00EF0BC6">
        <w:rPr>
          <w:rFonts w:ascii="Arial" w:hAnsi="Arial" w:cs="Arial"/>
          <w:sz w:val="22"/>
          <w:szCs w:val="22"/>
        </w:rPr>
        <w:t xml:space="preserve"> </w:t>
      </w:r>
      <w:r w:rsidR="008420AD" w:rsidRPr="002D205E">
        <w:rPr>
          <w:rFonts w:ascii="Arial" w:hAnsi="Arial" w:cs="Arial"/>
          <w:sz w:val="22"/>
          <w:szCs w:val="22"/>
        </w:rPr>
        <w:t>£</w:t>
      </w:r>
      <w:r w:rsidR="00D27651">
        <w:rPr>
          <w:rFonts w:ascii="Arial" w:hAnsi="Arial" w:cs="Arial"/>
          <w:sz w:val="22"/>
          <w:szCs w:val="22"/>
        </w:rPr>
        <w:t>5</w:t>
      </w:r>
      <w:r w:rsidR="008B7385">
        <w:rPr>
          <w:rFonts w:ascii="Arial" w:hAnsi="Arial" w:cs="Arial"/>
          <w:sz w:val="22"/>
          <w:szCs w:val="22"/>
        </w:rPr>
        <w:t>.</w:t>
      </w:r>
      <w:r w:rsidR="00D27651">
        <w:rPr>
          <w:rFonts w:ascii="Arial" w:hAnsi="Arial" w:cs="Arial"/>
          <w:sz w:val="22"/>
          <w:szCs w:val="22"/>
        </w:rPr>
        <w:t>020</w:t>
      </w:r>
      <w:r w:rsidR="008420AD" w:rsidRPr="002D205E">
        <w:rPr>
          <w:rFonts w:ascii="Arial" w:hAnsi="Arial" w:cs="Arial"/>
          <w:sz w:val="22"/>
          <w:szCs w:val="22"/>
        </w:rPr>
        <w:t>m has been actioned at M</w:t>
      </w:r>
      <w:r w:rsidR="008E42A5">
        <w:rPr>
          <w:rFonts w:ascii="Arial" w:hAnsi="Arial" w:cs="Arial"/>
          <w:sz w:val="22"/>
          <w:szCs w:val="22"/>
        </w:rPr>
        <w:t xml:space="preserve">onth </w:t>
      </w:r>
      <w:r w:rsidR="00D27651">
        <w:rPr>
          <w:rFonts w:ascii="Arial" w:hAnsi="Arial" w:cs="Arial"/>
          <w:sz w:val="22"/>
          <w:szCs w:val="22"/>
        </w:rPr>
        <w:t>10</w:t>
      </w:r>
      <w:r w:rsidR="008420AD" w:rsidRPr="002D205E">
        <w:rPr>
          <w:rFonts w:ascii="Arial" w:hAnsi="Arial" w:cs="Arial"/>
          <w:sz w:val="22"/>
          <w:szCs w:val="22"/>
        </w:rPr>
        <w:t xml:space="preserve"> against a phased plan of £</w:t>
      </w:r>
      <w:r w:rsidR="00D27651">
        <w:rPr>
          <w:rFonts w:ascii="Arial" w:hAnsi="Arial" w:cs="Arial"/>
          <w:sz w:val="22"/>
          <w:szCs w:val="22"/>
        </w:rPr>
        <w:t>8</w:t>
      </w:r>
      <w:r w:rsidR="00606916">
        <w:rPr>
          <w:rFonts w:ascii="Arial" w:hAnsi="Arial" w:cs="Arial"/>
          <w:sz w:val="22"/>
          <w:szCs w:val="22"/>
        </w:rPr>
        <w:t>.</w:t>
      </w:r>
      <w:r w:rsidR="00D27651">
        <w:rPr>
          <w:rFonts w:ascii="Arial" w:hAnsi="Arial" w:cs="Arial"/>
          <w:sz w:val="22"/>
          <w:szCs w:val="22"/>
        </w:rPr>
        <w:t>2</w:t>
      </w:r>
      <w:r w:rsidR="00A7796F">
        <w:rPr>
          <w:rFonts w:ascii="Arial" w:hAnsi="Arial" w:cs="Arial"/>
          <w:sz w:val="22"/>
          <w:szCs w:val="22"/>
        </w:rPr>
        <w:t>5</w:t>
      </w:r>
      <w:r w:rsidR="00D27651">
        <w:rPr>
          <w:rFonts w:ascii="Arial" w:hAnsi="Arial" w:cs="Arial"/>
          <w:sz w:val="22"/>
          <w:szCs w:val="22"/>
        </w:rPr>
        <w:t>3</w:t>
      </w:r>
      <w:r w:rsidR="008420AD" w:rsidRPr="002D205E">
        <w:rPr>
          <w:rFonts w:ascii="Arial" w:hAnsi="Arial" w:cs="Arial"/>
          <w:sz w:val="22"/>
          <w:szCs w:val="22"/>
        </w:rPr>
        <w:t>m.</w:t>
      </w:r>
    </w:p>
    <w:p w:rsidR="00CD5484" w:rsidRDefault="00CD5484" w:rsidP="00045153">
      <w:pPr>
        <w:ind w:left="567"/>
        <w:jc w:val="both"/>
        <w:rPr>
          <w:rFonts w:ascii="Arial" w:hAnsi="Arial" w:cs="Arial"/>
          <w:sz w:val="22"/>
          <w:szCs w:val="22"/>
        </w:rPr>
      </w:pPr>
    </w:p>
    <w:p w:rsidR="005F4367" w:rsidRDefault="005F4367" w:rsidP="00045153">
      <w:pPr>
        <w:ind w:left="567"/>
        <w:jc w:val="both"/>
        <w:rPr>
          <w:rFonts w:ascii="Arial" w:hAnsi="Arial" w:cs="Arial"/>
          <w:sz w:val="22"/>
          <w:szCs w:val="22"/>
        </w:rPr>
      </w:pPr>
    </w:p>
    <w:p w:rsidR="005F4367" w:rsidRDefault="005F4367" w:rsidP="00045153">
      <w:pPr>
        <w:ind w:left="567"/>
        <w:jc w:val="both"/>
        <w:rPr>
          <w:rFonts w:ascii="Arial" w:hAnsi="Arial" w:cs="Arial"/>
          <w:sz w:val="22"/>
          <w:szCs w:val="22"/>
        </w:rPr>
      </w:pPr>
    </w:p>
    <w:p w:rsidR="005F4367" w:rsidRDefault="005F4367" w:rsidP="00045153">
      <w:pPr>
        <w:ind w:left="567"/>
        <w:jc w:val="both"/>
        <w:rPr>
          <w:rFonts w:ascii="Arial" w:hAnsi="Arial" w:cs="Arial"/>
          <w:sz w:val="22"/>
          <w:szCs w:val="22"/>
        </w:rPr>
      </w:pPr>
    </w:p>
    <w:p w:rsidR="005F4367" w:rsidRDefault="005F4367" w:rsidP="00045153">
      <w:pPr>
        <w:ind w:left="567"/>
        <w:jc w:val="both"/>
        <w:rPr>
          <w:rFonts w:ascii="Arial" w:hAnsi="Arial" w:cs="Arial"/>
          <w:sz w:val="22"/>
          <w:szCs w:val="22"/>
        </w:rPr>
      </w:pPr>
    </w:p>
    <w:p w:rsidR="005F4367" w:rsidRDefault="005F4367" w:rsidP="00045153">
      <w:pPr>
        <w:ind w:left="567"/>
        <w:jc w:val="both"/>
        <w:rPr>
          <w:rFonts w:ascii="Arial" w:hAnsi="Arial" w:cs="Arial"/>
          <w:sz w:val="22"/>
          <w:szCs w:val="22"/>
        </w:rPr>
      </w:pPr>
    </w:p>
    <w:p w:rsidR="005F4367" w:rsidRDefault="005F4367" w:rsidP="00045153">
      <w:pPr>
        <w:ind w:left="567"/>
        <w:jc w:val="both"/>
        <w:rPr>
          <w:rFonts w:ascii="Arial" w:hAnsi="Arial" w:cs="Arial"/>
          <w:sz w:val="22"/>
          <w:szCs w:val="22"/>
        </w:rPr>
      </w:pPr>
    </w:p>
    <w:p w:rsidR="005F4367" w:rsidRDefault="005F4367" w:rsidP="00045153">
      <w:pPr>
        <w:ind w:left="567"/>
        <w:jc w:val="both"/>
        <w:rPr>
          <w:rFonts w:ascii="Arial" w:hAnsi="Arial" w:cs="Arial"/>
          <w:sz w:val="22"/>
          <w:szCs w:val="22"/>
        </w:rPr>
      </w:pPr>
    </w:p>
    <w:p w:rsidR="005F4367" w:rsidRDefault="005F4367" w:rsidP="00045153">
      <w:pPr>
        <w:ind w:left="567"/>
        <w:jc w:val="both"/>
        <w:rPr>
          <w:rFonts w:ascii="Arial" w:hAnsi="Arial" w:cs="Arial"/>
          <w:sz w:val="22"/>
          <w:szCs w:val="22"/>
        </w:rPr>
      </w:pPr>
    </w:p>
    <w:p w:rsidR="005F4367" w:rsidRDefault="005F4367" w:rsidP="00045153">
      <w:pPr>
        <w:ind w:left="567"/>
        <w:jc w:val="both"/>
        <w:rPr>
          <w:rFonts w:ascii="Arial" w:hAnsi="Arial" w:cs="Arial"/>
          <w:sz w:val="22"/>
          <w:szCs w:val="22"/>
        </w:rPr>
      </w:pPr>
    </w:p>
    <w:p w:rsidR="008420AD" w:rsidRDefault="008420AD" w:rsidP="00877940">
      <w:pPr>
        <w:ind w:left="567"/>
        <w:jc w:val="both"/>
        <w:rPr>
          <w:rFonts w:ascii="Arial" w:hAnsi="Arial" w:cs="Arial"/>
          <w:b/>
          <w:sz w:val="22"/>
          <w:szCs w:val="22"/>
        </w:rPr>
      </w:pPr>
      <w:r w:rsidRPr="00EF0BC6">
        <w:rPr>
          <w:rFonts w:ascii="Arial" w:hAnsi="Arial" w:cs="Arial"/>
          <w:b/>
          <w:sz w:val="22"/>
          <w:szCs w:val="22"/>
        </w:rPr>
        <w:lastRenderedPageBreak/>
        <w:t xml:space="preserve">Graph </w:t>
      </w:r>
      <w:r w:rsidR="00F93E4B">
        <w:rPr>
          <w:rFonts w:ascii="Arial" w:hAnsi="Arial" w:cs="Arial"/>
          <w:b/>
          <w:sz w:val="22"/>
          <w:szCs w:val="22"/>
        </w:rPr>
        <w:t>8</w:t>
      </w:r>
      <w:r w:rsidRPr="00EF0BC6">
        <w:rPr>
          <w:rFonts w:ascii="Arial" w:hAnsi="Arial" w:cs="Arial"/>
          <w:b/>
          <w:sz w:val="22"/>
          <w:szCs w:val="22"/>
        </w:rPr>
        <w:t>: Phased QIPP performance for the year</w:t>
      </w:r>
    </w:p>
    <w:p w:rsidR="00E700CF" w:rsidRDefault="00E700CF" w:rsidP="00877940">
      <w:pPr>
        <w:ind w:left="567"/>
        <w:jc w:val="both"/>
        <w:rPr>
          <w:rFonts w:ascii="Arial" w:hAnsi="Arial" w:cs="Arial"/>
          <w:b/>
          <w:sz w:val="22"/>
          <w:szCs w:val="22"/>
        </w:rPr>
      </w:pPr>
    </w:p>
    <w:p w:rsidR="008420AD" w:rsidRDefault="00D27651" w:rsidP="00877940">
      <w:pPr>
        <w:ind w:left="567"/>
        <w:jc w:val="both"/>
        <w:rPr>
          <w:rFonts w:ascii="Arial" w:hAnsi="Arial" w:cs="Arial"/>
          <w:b/>
          <w:sz w:val="22"/>
          <w:szCs w:val="22"/>
        </w:rPr>
      </w:pPr>
      <w:r>
        <w:rPr>
          <w:noProof/>
        </w:rPr>
        <w:drawing>
          <wp:inline distT="0" distB="0" distL="0" distR="0" wp14:anchorId="75CDFB9F" wp14:editId="7A3AE73D">
            <wp:extent cx="5943600" cy="3228340"/>
            <wp:effectExtent l="0" t="0" r="19050" b="101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420AD" w:rsidRDefault="008420AD" w:rsidP="005A533A">
      <w:pPr>
        <w:jc w:val="both"/>
        <w:rPr>
          <w:rFonts w:ascii="Arial" w:hAnsi="Arial" w:cs="Arial"/>
          <w:b/>
          <w:sz w:val="22"/>
          <w:szCs w:val="22"/>
        </w:rPr>
      </w:pPr>
    </w:p>
    <w:p w:rsidR="005F4367" w:rsidRDefault="005F4367" w:rsidP="008420AD">
      <w:pPr>
        <w:ind w:left="720"/>
        <w:jc w:val="both"/>
        <w:rPr>
          <w:rFonts w:ascii="Arial" w:hAnsi="Arial" w:cs="Arial"/>
          <w:b/>
          <w:sz w:val="22"/>
          <w:szCs w:val="22"/>
        </w:rPr>
      </w:pPr>
    </w:p>
    <w:p w:rsidR="008420AD" w:rsidRDefault="008420AD" w:rsidP="00877940">
      <w:pPr>
        <w:ind w:left="720" w:hanging="153"/>
        <w:jc w:val="both"/>
        <w:rPr>
          <w:rFonts w:ascii="Arial" w:hAnsi="Arial" w:cs="Arial"/>
          <w:b/>
          <w:sz w:val="22"/>
          <w:szCs w:val="22"/>
        </w:rPr>
      </w:pPr>
      <w:r w:rsidRPr="00EF0BC6">
        <w:rPr>
          <w:rFonts w:ascii="Arial" w:hAnsi="Arial" w:cs="Arial"/>
          <w:b/>
          <w:sz w:val="22"/>
          <w:szCs w:val="22"/>
        </w:rPr>
        <w:t>Tabl</w:t>
      </w:r>
      <w:r w:rsidR="008B7385">
        <w:rPr>
          <w:rFonts w:ascii="Arial" w:hAnsi="Arial" w:cs="Arial"/>
          <w:b/>
          <w:sz w:val="22"/>
          <w:szCs w:val="22"/>
        </w:rPr>
        <w:t xml:space="preserve">e C: QIPP performance at Month </w:t>
      </w:r>
      <w:r w:rsidR="00823C5F">
        <w:rPr>
          <w:rFonts w:ascii="Arial" w:hAnsi="Arial" w:cs="Arial"/>
          <w:b/>
          <w:sz w:val="22"/>
          <w:szCs w:val="22"/>
        </w:rPr>
        <w:t>10</w:t>
      </w:r>
    </w:p>
    <w:p w:rsidR="008E42A5" w:rsidRPr="00BD657B" w:rsidRDefault="008E42A5" w:rsidP="00877940">
      <w:pPr>
        <w:ind w:left="720" w:hanging="153"/>
        <w:jc w:val="both"/>
        <w:rPr>
          <w:rFonts w:ascii="Arial" w:hAnsi="Arial" w:cs="Arial"/>
          <w:b/>
          <w:sz w:val="22"/>
          <w:szCs w:val="22"/>
        </w:rPr>
      </w:pPr>
    </w:p>
    <w:p w:rsidR="008420AD" w:rsidRDefault="00D27651" w:rsidP="007C45A2">
      <w:pPr>
        <w:ind w:left="567"/>
        <w:jc w:val="both"/>
        <w:rPr>
          <w:rFonts w:ascii="Arial" w:hAnsi="Arial" w:cs="Arial"/>
          <w:sz w:val="22"/>
          <w:szCs w:val="22"/>
        </w:rPr>
      </w:pPr>
      <w:r w:rsidRPr="00D27651">
        <w:rPr>
          <w:noProof/>
        </w:rPr>
        <w:drawing>
          <wp:inline distT="0" distB="0" distL="0" distR="0" wp14:anchorId="52C1C3F4" wp14:editId="6E873ACF">
            <wp:extent cx="5924550" cy="1504950"/>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4007" cy="1504812"/>
                    </a:xfrm>
                    <a:prstGeom prst="rect">
                      <a:avLst/>
                    </a:prstGeom>
                    <a:noFill/>
                    <a:ln w="6350">
                      <a:solidFill>
                        <a:schemeClr val="tx1"/>
                      </a:solidFill>
                    </a:ln>
                  </pic:spPr>
                </pic:pic>
              </a:graphicData>
            </a:graphic>
          </wp:inline>
        </w:drawing>
      </w:r>
    </w:p>
    <w:p w:rsidR="005F4367" w:rsidRDefault="005F4367" w:rsidP="0048452D">
      <w:pPr>
        <w:jc w:val="right"/>
        <w:rPr>
          <w:rFonts w:ascii="Arial" w:hAnsi="Arial" w:cs="Arial"/>
          <w:sz w:val="22"/>
          <w:szCs w:val="22"/>
        </w:rPr>
      </w:pPr>
    </w:p>
    <w:p w:rsidR="008420AD" w:rsidRDefault="008420AD" w:rsidP="0048452D">
      <w:pPr>
        <w:jc w:val="right"/>
        <w:rPr>
          <w:rFonts w:ascii="Arial" w:hAnsi="Arial" w:cs="Arial"/>
          <w:sz w:val="22"/>
          <w:szCs w:val="22"/>
        </w:rPr>
      </w:pPr>
      <w:r>
        <w:rPr>
          <w:rFonts w:ascii="Arial" w:hAnsi="Arial" w:cs="Arial"/>
          <w:sz w:val="22"/>
          <w:szCs w:val="22"/>
        </w:rPr>
        <w:tab/>
      </w:r>
    </w:p>
    <w:p w:rsidR="005D0387" w:rsidRDefault="005A2110" w:rsidP="00352317">
      <w:pPr>
        <w:ind w:left="567"/>
        <w:jc w:val="both"/>
        <w:rPr>
          <w:rFonts w:ascii="Arial" w:hAnsi="Arial" w:cs="Arial"/>
          <w:sz w:val="22"/>
          <w:szCs w:val="22"/>
        </w:rPr>
      </w:pPr>
      <w:r>
        <w:rPr>
          <w:rFonts w:ascii="Arial" w:hAnsi="Arial" w:cs="Arial"/>
          <w:sz w:val="22"/>
          <w:szCs w:val="22"/>
        </w:rPr>
        <w:t xml:space="preserve">QIPP delivery is </w:t>
      </w:r>
      <w:r w:rsidRPr="00D60A50">
        <w:rPr>
          <w:rFonts w:ascii="Arial" w:hAnsi="Arial" w:cs="Arial"/>
          <w:b/>
          <w:sz w:val="22"/>
          <w:szCs w:val="22"/>
        </w:rPr>
        <w:t>£</w:t>
      </w:r>
      <w:r w:rsidR="00D27651">
        <w:rPr>
          <w:rFonts w:ascii="Arial" w:hAnsi="Arial" w:cs="Arial"/>
          <w:b/>
          <w:sz w:val="22"/>
          <w:szCs w:val="22"/>
        </w:rPr>
        <w:t>3</w:t>
      </w:r>
      <w:r w:rsidRPr="00D60A50">
        <w:rPr>
          <w:rFonts w:ascii="Arial" w:hAnsi="Arial" w:cs="Arial"/>
          <w:b/>
          <w:sz w:val="22"/>
          <w:szCs w:val="22"/>
        </w:rPr>
        <w:t>.</w:t>
      </w:r>
      <w:r w:rsidR="00D27651">
        <w:rPr>
          <w:rFonts w:ascii="Arial" w:hAnsi="Arial" w:cs="Arial"/>
          <w:b/>
          <w:sz w:val="22"/>
          <w:szCs w:val="22"/>
        </w:rPr>
        <w:t>233</w:t>
      </w:r>
      <w:r w:rsidR="00D10A7F" w:rsidRPr="00D60A50">
        <w:rPr>
          <w:rFonts w:ascii="Arial" w:hAnsi="Arial" w:cs="Arial"/>
          <w:b/>
          <w:sz w:val="22"/>
          <w:szCs w:val="22"/>
        </w:rPr>
        <w:t>m</w:t>
      </w:r>
      <w:r w:rsidR="00D10A7F">
        <w:rPr>
          <w:rFonts w:ascii="Arial" w:hAnsi="Arial" w:cs="Arial"/>
          <w:sz w:val="22"/>
          <w:szCs w:val="22"/>
        </w:rPr>
        <w:t xml:space="preserve"> below plan at Month </w:t>
      </w:r>
      <w:r w:rsidR="00D27651">
        <w:rPr>
          <w:rFonts w:ascii="Arial" w:hAnsi="Arial" w:cs="Arial"/>
          <w:sz w:val="22"/>
          <w:szCs w:val="22"/>
        </w:rPr>
        <w:t>10</w:t>
      </w:r>
      <w:r w:rsidR="001E35E4">
        <w:rPr>
          <w:rFonts w:ascii="Arial" w:hAnsi="Arial" w:cs="Arial"/>
          <w:sz w:val="22"/>
          <w:szCs w:val="22"/>
        </w:rPr>
        <w:t xml:space="preserve">, largely </w:t>
      </w:r>
      <w:r w:rsidR="00D27651">
        <w:rPr>
          <w:rFonts w:ascii="Arial" w:hAnsi="Arial" w:cs="Arial"/>
          <w:sz w:val="22"/>
          <w:szCs w:val="22"/>
        </w:rPr>
        <w:t xml:space="preserve">in respect of the </w:t>
      </w:r>
      <w:r w:rsidR="001E35E4">
        <w:rPr>
          <w:rFonts w:ascii="Arial" w:hAnsi="Arial" w:cs="Arial"/>
          <w:sz w:val="22"/>
          <w:szCs w:val="22"/>
        </w:rPr>
        <w:t>urgent care</w:t>
      </w:r>
      <w:r w:rsidR="00D27651">
        <w:rPr>
          <w:rFonts w:ascii="Arial" w:hAnsi="Arial" w:cs="Arial"/>
          <w:sz w:val="22"/>
          <w:szCs w:val="22"/>
        </w:rPr>
        <w:t xml:space="preserve"> scheme</w:t>
      </w:r>
      <w:r w:rsidR="001E35E4">
        <w:rPr>
          <w:rFonts w:ascii="Arial" w:hAnsi="Arial" w:cs="Arial"/>
          <w:sz w:val="22"/>
          <w:szCs w:val="22"/>
        </w:rPr>
        <w:t xml:space="preserve">. </w:t>
      </w:r>
      <w:r>
        <w:rPr>
          <w:rFonts w:ascii="Arial" w:hAnsi="Arial" w:cs="Arial"/>
          <w:sz w:val="22"/>
          <w:szCs w:val="22"/>
        </w:rPr>
        <w:t xml:space="preserve"> </w:t>
      </w:r>
      <w:r w:rsidR="001E35E4">
        <w:rPr>
          <w:rFonts w:ascii="Arial" w:hAnsi="Arial" w:cs="Arial"/>
          <w:sz w:val="22"/>
          <w:szCs w:val="22"/>
        </w:rPr>
        <w:t>Although Non Elective costs have reduced compared to plan it is difficult to attribute these to specific schemes</w:t>
      </w:r>
      <w:r w:rsidR="006F090B">
        <w:rPr>
          <w:rFonts w:ascii="Arial" w:hAnsi="Arial" w:cs="Arial"/>
          <w:sz w:val="22"/>
          <w:szCs w:val="22"/>
        </w:rPr>
        <w:t xml:space="preserve">. </w:t>
      </w:r>
      <w:r w:rsidR="00D10A7F">
        <w:rPr>
          <w:rFonts w:ascii="Arial" w:hAnsi="Arial" w:cs="Arial"/>
          <w:sz w:val="22"/>
          <w:szCs w:val="22"/>
        </w:rPr>
        <w:t xml:space="preserve"> </w:t>
      </w:r>
    </w:p>
    <w:p w:rsidR="005C0780" w:rsidRDefault="005C0780" w:rsidP="00352317">
      <w:pPr>
        <w:ind w:left="567"/>
        <w:jc w:val="both"/>
        <w:rPr>
          <w:rFonts w:ascii="Arial" w:hAnsi="Arial" w:cs="Arial"/>
          <w:sz w:val="22"/>
          <w:szCs w:val="22"/>
        </w:rPr>
      </w:pPr>
    </w:p>
    <w:p w:rsidR="00570BB4" w:rsidRDefault="00D27651" w:rsidP="00570BB4">
      <w:pPr>
        <w:ind w:left="567"/>
        <w:jc w:val="both"/>
        <w:rPr>
          <w:rFonts w:ascii="Arial" w:hAnsi="Arial" w:cs="Arial"/>
          <w:sz w:val="22"/>
          <w:szCs w:val="22"/>
        </w:rPr>
      </w:pPr>
      <w:r>
        <w:rPr>
          <w:rFonts w:ascii="Arial" w:hAnsi="Arial" w:cs="Arial"/>
          <w:sz w:val="22"/>
          <w:szCs w:val="22"/>
        </w:rPr>
        <w:t>A</w:t>
      </w:r>
      <w:r w:rsidR="005D0387">
        <w:rPr>
          <w:rFonts w:ascii="Arial" w:hAnsi="Arial" w:cs="Arial"/>
          <w:sz w:val="22"/>
          <w:szCs w:val="22"/>
        </w:rPr>
        <w:t xml:space="preserve"> critical review of outsta</w:t>
      </w:r>
      <w:r w:rsidR="00D60A50">
        <w:rPr>
          <w:rFonts w:ascii="Arial" w:hAnsi="Arial" w:cs="Arial"/>
          <w:sz w:val="22"/>
          <w:szCs w:val="22"/>
        </w:rPr>
        <w:t xml:space="preserve">nding schemes </w:t>
      </w:r>
      <w:r>
        <w:rPr>
          <w:rFonts w:ascii="Arial" w:hAnsi="Arial" w:cs="Arial"/>
          <w:sz w:val="22"/>
          <w:szCs w:val="22"/>
        </w:rPr>
        <w:t>has been undertaken</w:t>
      </w:r>
      <w:r w:rsidR="005C0780">
        <w:rPr>
          <w:rFonts w:ascii="Arial" w:hAnsi="Arial" w:cs="Arial"/>
          <w:sz w:val="22"/>
          <w:szCs w:val="22"/>
        </w:rPr>
        <w:t xml:space="preserve"> and an assessment of expected delivery for the remainder of the financial year.  The CCG expects to deliver a further </w:t>
      </w:r>
      <w:r w:rsidR="005C0780" w:rsidRPr="00CD5484">
        <w:rPr>
          <w:rFonts w:ascii="Arial" w:hAnsi="Arial" w:cs="Arial"/>
          <w:b/>
          <w:sz w:val="22"/>
          <w:szCs w:val="22"/>
        </w:rPr>
        <w:t>£1.331m</w:t>
      </w:r>
      <w:r w:rsidR="005C0780">
        <w:rPr>
          <w:rFonts w:ascii="Arial" w:hAnsi="Arial" w:cs="Arial"/>
          <w:sz w:val="22"/>
          <w:szCs w:val="22"/>
        </w:rPr>
        <w:t xml:space="preserve"> in Months 11 and 12, </w:t>
      </w:r>
      <w:r w:rsidR="007C45A2">
        <w:rPr>
          <w:rFonts w:ascii="Arial" w:hAnsi="Arial" w:cs="Arial"/>
          <w:sz w:val="22"/>
          <w:szCs w:val="22"/>
        </w:rPr>
        <w:t xml:space="preserve">scheme leads in particular, </w:t>
      </w:r>
      <w:r w:rsidR="00D10A7F">
        <w:rPr>
          <w:rFonts w:ascii="Arial" w:hAnsi="Arial" w:cs="Arial"/>
          <w:sz w:val="22"/>
          <w:szCs w:val="22"/>
        </w:rPr>
        <w:t xml:space="preserve">must work </w:t>
      </w:r>
      <w:r w:rsidR="00695A51">
        <w:rPr>
          <w:rFonts w:ascii="Arial" w:hAnsi="Arial" w:cs="Arial"/>
          <w:sz w:val="22"/>
          <w:szCs w:val="22"/>
        </w:rPr>
        <w:t>to</w:t>
      </w:r>
      <w:r w:rsidR="00D10A7F">
        <w:rPr>
          <w:rFonts w:ascii="Arial" w:hAnsi="Arial" w:cs="Arial"/>
          <w:sz w:val="22"/>
          <w:szCs w:val="22"/>
        </w:rPr>
        <w:t xml:space="preserve"> </w:t>
      </w:r>
      <w:r w:rsidR="005C0780">
        <w:rPr>
          <w:rFonts w:ascii="Arial" w:hAnsi="Arial" w:cs="Arial"/>
          <w:sz w:val="22"/>
          <w:szCs w:val="22"/>
        </w:rPr>
        <w:t>ensure delivery of the identified schemes.</w:t>
      </w:r>
      <w:r w:rsidR="00570BB4">
        <w:rPr>
          <w:rFonts w:ascii="Arial" w:hAnsi="Arial" w:cs="Arial"/>
          <w:sz w:val="22"/>
          <w:szCs w:val="22"/>
        </w:rPr>
        <w:t xml:space="preserve">  </w:t>
      </w:r>
      <w:r w:rsidR="00CD5484">
        <w:rPr>
          <w:rFonts w:ascii="Arial" w:hAnsi="Arial" w:cs="Arial"/>
          <w:b/>
          <w:sz w:val="22"/>
          <w:szCs w:val="22"/>
        </w:rPr>
        <w:t xml:space="preserve">Table D </w:t>
      </w:r>
      <w:r w:rsidR="00CD5484">
        <w:rPr>
          <w:rFonts w:ascii="Arial" w:hAnsi="Arial" w:cs="Arial"/>
          <w:sz w:val="22"/>
          <w:szCs w:val="22"/>
        </w:rPr>
        <w:t xml:space="preserve">below shows the expected delivery of QIPP schemes for the remainder of the financial year.  </w:t>
      </w:r>
    </w:p>
    <w:p w:rsidR="00CD5484" w:rsidRDefault="00CD5484" w:rsidP="00CD5484">
      <w:pPr>
        <w:ind w:left="567"/>
        <w:jc w:val="both"/>
        <w:rPr>
          <w:rFonts w:ascii="Arial" w:hAnsi="Arial" w:cs="Arial"/>
          <w:sz w:val="22"/>
          <w:szCs w:val="22"/>
        </w:rPr>
      </w:pPr>
    </w:p>
    <w:p w:rsidR="005F4367" w:rsidRDefault="005F4367" w:rsidP="00CD5484">
      <w:pPr>
        <w:ind w:left="567"/>
        <w:jc w:val="both"/>
        <w:rPr>
          <w:rFonts w:ascii="Arial" w:hAnsi="Arial" w:cs="Arial"/>
          <w:b/>
          <w:sz w:val="22"/>
          <w:szCs w:val="22"/>
        </w:rPr>
      </w:pPr>
    </w:p>
    <w:p w:rsidR="005F4367" w:rsidRDefault="005F4367" w:rsidP="00CD5484">
      <w:pPr>
        <w:ind w:left="567"/>
        <w:jc w:val="both"/>
        <w:rPr>
          <w:rFonts w:ascii="Arial" w:hAnsi="Arial" w:cs="Arial"/>
          <w:b/>
          <w:sz w:val="22"/>
          <w:szCs w:val="22"/>
        </w:rPr>
      </w:pPr>
    </w:p>
    <w:p w:rsidR="005F4367" w:rsidRDefault="005F4367" w:rsidP="00CD5484">
      <w:pPr>
        <w:ind w:left="567"/>
        <w:jc w:val="both"/>
        <w:rPr>
          <w:rFonts w:ascii="Arial" w:hAnsi="Arial" w:cs="Arial"/>
          <w:b/>
          <w:sz w:val="22"/>
          <w:szCs w:val="22"/>
        </w:rPr>
      </w:pPr>
    </w:p>
    <w:p w:rsidR="005F4367" w:rsidRDefault="005F4367" w:rsidP="00CD5484">
      <w:pPr>
        <w:ind w:left="567"/>
        <w:jc w:val="both"/>
        <w:rPr>
          <w:rFonts w:ascii="Arial" w:hAnsi="Arial" w:cs="Arial"/>
          <w:b/>
          <w:sz w:val="22"/>
          <w:szCs w:val="22"/>
        </w:rPr>
      </w:pPr>
    </w:p>
    <w:p w:rsidR="005F4367" w:rsidRDefault="005F4367" w:rsidP="00CD5484">
      <w:pPr>
        <w:ind w:left="567"/>
        <w:jc w:val="both"/>
        <w:rPr>
          <w:rFonts w:ascii="Arial" w:hAnsi="Arial" w:cs="Arial"/>
          <w:b/>
          <w:sz w:val="22"/>
          <w:szCs w:val="22"/>
        </w:rPr>
      </w:pPr>
    </w:p>
    <w:p w:rsidR="005A533A" w:rsidRDefault="005A533A" w:rsidP="00CD5484">
      <w:pPr>
        <w:ind w:left="567"/>
        <w:jc w:val="both"/>
        <w:rPr>
          <w:rFonts w:ascii="Arial" w:hAnsi="Arial" w:cs="Arial"/>
          <w:b/>
          <w:sz w:val="22"/>
          <w:szCs w:val="22"/>
        </w:rPr>
      </w:pPr>
    </w:p>
    <w:p w:rsidR="00CD5484" w:rsidRPr="003005C0" w:rsidRDefault="003005C0" w:rsidP="00CD5484">
      <w:pPr>
        <w:ind w:left="567"/>
        <w:jc w:val="both"/>
        <w:rPr>
          <w:rFonts w:ascii="Arial" w:hAnsi="Arial" w:cs="Arial"/>
          <w:b/>
          <w:sz w:val="22"/>
          <w:szCs w:val="22"/>
        </w:rPr>
      </w:pPr>
      <w:r>
        <w:rPr>
          <w:rFonts w:ascii="Arial" w:hAnsi="Arial" w:cs="Arial"/>
          <w:b/>
          <w:sz w:val="22"/>
          <w:szCs w:val="22"/>
        </w:rPr>
        <w:lastRenderedPageBreak/>
        <w:t>Table D – QIPP Schemes to be delivered</w:t>
      </w:r>
    </w:p>
    <w:p w:rsidR="005C0780" w:rsidRDefault="005C0780" w:rsidP="005C0780">
      <w:pPr>
        <w:ind w:left="567"/>
        <w:jc w:val="both"/>
        <w:rPr>
          <w:rFonts w:ascii="Arial" w:hAnsi="Arial" w:cs="Arial"/>
          <w:sz w:val="22"/>
          <w:szCs w:val="22"/>
        </w:rPr>
      </w:pPr>
    </w:p>
    <w:p w:rsidR="00147599" w:rsidRDefault="003005C0" w:rsidP="00352317">
      <w:pPr>
        <w:ind w:left="567"/>
        <w:jc w:val="both"/>
        <w:rPr>
          <w:rFonts w:ascii="Arial" w:hAnsi="Arial" w:cs="Arial"/>
          <w:sz w:val="22"/>
          <w:szCs w:val="22"/>
        </w:rPr>
      </w:pPr>
      <w:r w:rsidRPr="003005C0">
        <w:rPr>
          <w:noProof/>
        </w:rPr>
        <w:drawing>
          <wp:inline distT="0" distB="0" distL="0" distR="0">
            <wp:extent cx="3400425" cy="18288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0425" cy="1828800"/>
                    </a:xfrm>
                    <a:prstGeom prst="rect">
                      <a:avLst/>
                    </a:prstGeom>
                    <a:noFill/>
                    <a:ln>
                      <a:noFill/>
                    </a:ln>
                  </pic:spPr>
                </pic:pic>
              </a:graphicData>
            </a:graphic>
          </wp:inline>
        </w:drawing>
      </w:r>
    </w:p>
    <w:p w:rsidR="00570BB4" w:rsidRDefault="00570BB4" w:rsidP="00352317">
      <w:pPr>
        <w:ind w:left="567"/>
        <w:jc w:val="both"/>
        <w:rPr>
          <w:rFonts w:ascii="Arial" w:hAnsi="Arial" w:cs="Arial"/>
          <w:sz w:val="22"/>
          <w:szCs w:val="22"/>
        </w:rPr>
      </w:pPr>
    </w:p>
    <w:p w:rsidR="00570BB4" w:rsidRDefault="00570BB4" w:rsidP="00570BB4">
      <w:pPr>
        <w:ind w:left="567"/>
        <w:jc w:val="both"/>
        <w:rPr>
          <w:rFonts w:ascii="Arial" w:hAnsi="Arial" w:cs="Arial"/>
          <w:sz w:val="22"/>
          <w:szCs w:val="22"/>
        </w:rPr>
      </w:pPr>
    </w:p>
    <w:p w:rsidR="00570BB4" w:rsidRDefault="00570BB4" w:rsidP="00570BB4">
      <w:pPr>
        <w:ind w:left="567"/>
        <w:jc w:val="both"/>
        <w:rPr>
          <w:rFonts w:ascii="Arial" w:hAnsi="Arial" w:cs="Arial"/>
          <w:sz w:val="22"/>
          <w:szCs w:val="22"/>
        </w:rPr>
      </w:pPr>
      <w:r>
        <w:rPr>
          <w:rFonts w:ascii="Arial" w:hAnsi="Arial" w:cs="Arial"/>
          <w:sz w:val="22"/>
          <w:szCs w:val="22"/>
        </w:rPr>
        <w:t xml:space="preserve">Total QIPP delivery is anticipated to be £6.851m for the financial year which is an underperformance of £4.033m against the original plan of £10.384m.  The underperformance, together with </w:t>
      </w:r>
      <w:proofErr w:type="gramStart"/>
      <w:r>
        <w:rPr>
          <w:rFonts w:ascii="Arial" w:hAnsi="Arial" w:cs="Arial"/>
          <w:sz w:val="22"/>
          <w:szCs w:val="22"/>
        </w:rPr>
        <w:t>an overspend</w:t>
      </w:r>
      <w:proofErr w:type="gramEnd"/>
      <w:r>
        <w:rPr>
          <w:rFonts w:ascii="Arial" w:hAnsi="Arial" w:cs="Arial"/>
          <w:sz w:val="22"/>
          <w:szCs w:val="22"/>
        </w:rPr>
        <w:t xml:space="preserve"> on operational budgets has led to a deterioration in the forecast from a planned surplus of £2.450m to a deficit of £2.332m.</w:t>
      </w:r>
    </w:p>
    <w:p w:rsidR="00570BB4" w:rsidRDefault="00570BB4" w:rsidP="00352317">
      <w:pPr>
        <w:ind w:left="567"/>
        <w:jc w:val="both"/>
        <w:rPr>
          <w:rFonts w:ascii="Arial" w:hAnsi="Arial" w:cs="Arial"/>
          <w:sz w:val="22"/>
          <w:szCs w:val="22"/>
        </w:rPr>
      </w:pPr>
    </w:p>
    <w:p w:rsidR="00347E16" w:rsidRPr="00352317" w:rsidRDefault="00347E16" w:rsidP="00352317">
      <w:pPr>
        <w:ind w:left="567"/>
        <w:jc w:val="both"/>
        <w:rPr>
          <w:rFonts w:ascii="Arial" w:hAnsi="Arial" w:cs="Arial"/>
          <w:sz w:val="22"/>
          <w:szCs w:val="22"/>
        </w:rPr>
      </w:pPr>
    </w:p>
    <w:p w:rsidR="00BB7C3B" w:rsidRPr="000A2916" w:rsidRDefault="000819F5" w:rsidP="00AD38C8">
      <w:pPr>
        <w:numPr>
          <w:ilvl w:val="0"/>
          <w:numId w:val="1"/>
        </w:numPr>
        <w:shd w:val="clear" w:color="auto" w:fill="D9D9D9"/>
        <w:ind w:left="567" w:hanging="567"/>
        <w:jc w:val="both"/>
        <w:rPr>
          <w:rFonts w:ascii="Arial" w:hAnsi="Arial" w:cs="Arial"/>
          <w:b/>
          <w:sz w:val="22"/>
          <w:szCs w:val="22"/>
        </w:rPr>
      </w:pPr>
      <w:r>
        <w:rPr>
          <w:rFonts w:ascii="Arial" w:hAnsi="Arial" w:cs="Arial"/>
          <w:b/>
          <w:sz w:val="22"/>
          <w:szCs w:val="22"/>
        </w:rPr>
        <w:t>CCG running c</w:t>
      </w:r>
      <w:r w:rsidR="00877940" w:rsidRPr="000A2916">
        <w:rPr>
          <w:rFonts w:ascii="Arial" w:hAnsi="Arial" w:cs="Arial"/>
          <w:b/>
          <w:sz w:val="22"/>
          <w:szCs w:val="22"/>
        </w:rPr>
        <w:t>osts</w:t>
      </w:r>
    </w:p>
    <w:p w:rsidR="00BB7C3B" w:rsidRDefault="00BB7C3B" w:rsidP="00AD38C8">
      <w:pPr>
        <w:ind w:left="567" w:hanging="567"/>
        <w:jc w:val="both"/>
        <w:rPr>
          <w:rFonts w:ascii="Arial" w:hAnsi="Arial" w:cs="Arial"/>
          <w:sz w:val="22"/>
          <w:szCs w:val="22"/>
        </w:rPr>
      </w:pPr>
    </w:p>
    <w:p w:rsidR="00877940" w:rsidRPr="00065CEA" w:rsidRDefault="00877940" w:rsidP="00877940">
      <w:pPr>
        <w:ind w:left="567"/>
        <w:jc w:val="both"/>
        <w:rPr>
          <w:rFonts w:ascii="Arial" w:hAnsi="Arial" w:cs="Arial"/>
          <w:color w:val="000000" w:themeColor="text1"/>
          <w:sz w:val="22"/>
          <w:szCs w:val="22"/>
        </w:rPr>
      </w:pPr>
      <w:r w:rsidRPr="00E8245F">
        <w:rPr>
          <w:rFonts w:ascii="Arial" w:hAnsi="Arial" w:cs="Arial"/>
          <w:color w:val="000000" w:themeColor="text1"/>
          <w:sz w:val="22"/>
          <w:szCs w:val="22"/>
        </w:rPr>
        <w:t xml:space="preserve">The running cost allocation for the CCG </w:t>
      </w:r>
      <w:r w:rsidRPr="00F93E4B">
        <w:rPr>
          <w:rFonts w:ascii="Arial" w:hAnsi="Arial" w:cs="Arial"/>
          <w:color w:val="000000" w:themeColor="text1"/>
          <w:sz w:val="22"/>
          <w:szCs w:val="22"/>
        </w:rPr>
        <w:t>is £3.259m</w:t>
      </w:r>
      <w:r w:rsidR="00BF26E4">
        <w:rPr>
          <w:rFonts w:ascii="Arial" w:hAnsi="Arial" w:cs="Arial"/>
          <w:color w:val="000000" w:themeColor="text1"/>
          <w:sz w:val="22"/>
          <w:szCs w:val="22"/>
        </w:rPr>
        <w:t xml:space="preserve"> and</w:t>
      </w:r>
      <w:r>
        <w:rPr>
          <w:rFonts w:ascii="Arial" w:hAnsi="Arial" w:cs="Arial"/>
          <w:b/>
          <w:color w:val="000000" w:themeColor="text1"/>
          <w:sz w:val="22"/>
          <w:szCs w:val="22"/>
        </w:rPr>
        <w:t xml:space="preserve"> </w:t>
      </w:r>
      <w:r>
        <w:rPr>
          <w:rFonts w:ascii="Arial" w:hAnsi="Arial" w:cs="Arial"/>
          <w:color w:val="000000" w:themeColor="text1"/>
          <w:sz w:val="22"/>
          <w:szCs w:val="22"/>
        </w:rPr>
        <w:t>the CCG must not exceed this allocation in the financial year.</w:t>
      </w:r>
    </w:p>
    <w:p w:rsidR="00877940" w:rsidRDefault="00877940" w:rsidP="00877940">
      <w:pPr>
        <w:ind w:left="567"/>
        <w:jc w:val="both"/>
        <w:rPr>
          <w:rFonts w:ascii="Arial" w:hAnsi="Arial" w:cs="Arial"/>
          <w:color w:val="000000" w:themeColor="text1"/>
          <w:sz w:val="22"/>
          <w:szCs w:val="22"/>
        </w:rPr>
      </w:pPr>
    </w:p>
    <w:p w:rsidR="001A278F" w:rsidRDefault="00877940" w:rsidP="00147599">
      <w:pPr>
        <w:ind w:left="567"/>
        <w:jc w:val="both"/>
        <w:rPr>
          <w:rFonts w:ascii="Arial" w:hAnsi="Arial" w:cs="Arial"/>
          <w:color w:val="000000" w:themeColor="text1"/>
          <w:sz w:val="22"/>
          <w:szCs w:val="22"/>
        </w:rPr>
      </w:pPr>
      <w:r w:rsidRPr="001C6AD6">
        <w:rPr>
          <w:rFonts w:ascii="Arial" w:hAnsi="Arial" w:cs="Arial"/>
          <w:color w:val="000000" w:themeColor="text1"/>
          <w:sz w:val="22"/>
          <w:szCs w:val="22"/>
        </w:rPr>
        <w:t xml:space="preserve">The current year </w:t>
      </w:r>
      <w:r w:rsidR="00DC095A">
        <w:rPr>
          <w:rFonts w:ascii="Arial" w:hAnsi="Arial" w:cs="Arial"/>
          <w:color w:val="000000" w:themeColor="text1"/>
          <w:sz w:val="22"/>
          <w:szCs w:val="22"/>
        </w:rPr>
        <w:t xml:space="preserve">end </w:t>
      </w:r>
      <w:r w:rsidRPr="001C6AD6">
        <w:rPr>
          <w:rFonts w:ascii="Arial" w:hAnsi="Arial" w:cs="Arial"/>
          <w:color w:val="000000" w:themeColor="text1"/>
          <w:sz w:val="22"/>
          <w:szCs w:val="22"/>
        </w:rPr>
        <w:t xml:space="preserve">outturn position for the running cost budget is </w:t>
      </w:r>
      <w:proofErr w:type="gramStart"/>
      <w:r w:rsidR="005C0780">
        <w:rPr>
          <w:rFonts w:ascii="Arial" w:hAnsi="Arial" w:cs="Arial"/>
          <w:color w:val="000000" w:themeColor="text1"/>
          <w:sz w:val="22"/>
          <w:szCs w:val="22"/>
        </w:rPr>
        <w:t>an underspend</w:t>
      </w:r>
      <w:proofErr w:type="gramEnd"/>
      <w:r w:rsidR="005C0780">
        <w:rPr>
          <w:rFonts w:ascii="Arial" w:hAnsi="Arial" w:cs="Arial"/>
          <w:color w:val="000000" w:themeColor="text1"/>
          <w:sz w:val="22"/>
          <w:szCs w:val="22"/>
        </w:rPr>
        <w:t xml:space="preserve"> of £0.224</w:t>
      </w:r>
      <w:r w:rsidR="00DC095A">
        <w:rPr>
          <w:rFonts w:ascii="Arial" w:hAnsi="Arial" w:cs="Arial"/>
          <w:color w:val="000000" w:themeColor="text1"/>
          <w:sz w:val="22"/>
          <w:szCs w:val="22"/>
        </w:rPr>
        <w:t>m</w:t>
      </w:r>
      <w:r w:rsidR="00E44BAD">
        <w:rPr>
          <w:rFonts w:ascii="Arial" w:hAnsi="Arial" w:cs="Arial"/>
          <w:color w:val="000000" w:themeColor="text1"/>
          <w:sz w:val="22"/>
          <w:szCs w:val="22"/>
        </w:rPr>
        <w:t>.</w:t>
      </w:r>
    </w:p>
    <w:p w:rsidR="00E44BAD" w:rsidRDefault="00E44BAD" w:rsidP="00147599">
      <w:pPr>
        <w:ind w:left="567"/>
        <w:jc w:val="both"/>
        <w:rPr>
          <w:rFonts w:ascii="Arial" w:hAnsi="Arial" w:cs="Arial"/>
          <w:color w:val="000000" w:themeColor="text1"/>
          <w:sz w:val="22"/>
          <w:szCs w:val="22"/>
        </w:rPr>
      </w:pPr>
    </w:p>
    <w:p w:rsidR="00877940" w:rsidRDefault="00877940" w:rsidP="00AD38C8">
      <w:pPr>
        <w:ind w:left="567" w:hanging="567"/>
        <w:jc w:val="both"/>
        <w:rPr>
          <w:rFonts w:ascii="Arial" w:hAnsi="Arial" w:cs="Arial"/>
          <w:sz w:val="22"/>
          <w:szCs w:val="22"/>
        </w:rPr>
      </w:pPr>
    </w:p>
    <w:p w:rsidR="00877940" w:rsidRPr="00DC095A" w:rsidRDefault="00877940" w:rsidP="00877940">
      <w:pPr>
        <w:numPr>
          <w:ilvl w:val="0"/>
          <w:numId w:val="1"/>
        </w:numPr>
        <w:shd w:val="clear" w:color="auto" w:fill="D9D9D9"/>
        <w:ind w:left="567" w:hanging="567"/>
        <w:jc w:val="both"/>
        <w:rPr>
          <w:rFonts w:ascii="Arial" w:hAnsi="Arial" w:cs="Arial"/>
          <w:b/>
          <w:sz w:val="22"/>
          <w:szCs w:val="22"/>
        </w:rPr>
      </w:pPr>
      <w:r w:rsidRPr="00DC095A">
        <w:rPr>
          <w:rFonts w:ascii="Arial" w:hAnsi="Arial" w:cs="Arial"/>
          <w:b/>
          <w:sz w:val="22"/>
          <w:szCs w:val="22"/>
        </w:rPr>
        <w:t>C</w:t>
      </w:r>
      <w:r w:rsidR="005F2C95" w:rsidRPr="00DC095A">
        <w:rPr>
          <w:rFonts w:ascii="Arial" w:hAnsi="Arial" w:cs="Arial"/>
          <w:b/>
          <w:sz w:val="22"/>
          <w:szCs w:val="22"/>
        </w:rPr>
        <w:t>CG Cash Position</w:t>
      </w:r>
    </w:p>
    <w:p w:rsidR="00877940" w:rsidRDefault="00877940" w:rsidP="00877940">
      <w:pPr>
        <w:ind w:left="567" w:hanging="567"/>
        <w:jc w:val="both"/>
        <w:rPr>
          <w:rFonts w:ascii="Arial" w:hAnsi="Arial" w:cs="Arial"/>
          <w:sz w:val="22"/>
          <w:szCs w:val="22"/>
        </w:rPr>
      </w:pPr>
    </w:p>
    <w:p w:rsidR="008D59AD" w:rsidRDefault="008D59AD" w:rsidP="008D59AD">
      <w:pPr>
        <w:ind w:left="567"/>
        <w:jc w:val="both"/>
        <w:rPr>
          <w:rFonts w:ascii="Arial" w:hAnsi="Arial" w:cs="Arial"/>
          <w:sz w:val="22"/>
          <w:szCs w:val="22"/>
        </w:rPr>
      </w:pPr>
      <w:r w:rsidRPr="008D59AD">
        <w:rPr>
          <w:rFonts w:ascii="Arial" w:hAnsi="Arial" w:cs="Arial"/>
          <w:sz w:val="22"/>
          <w:szCs w:val="22"/>
        </w:rPr>
        <w:t>In order to control cash expenditure within the NHS, limits are placed on the level of cash an organisation can utilise in each financial year.</w:t>
      </w:r>
    </w:p>
    <w:p w:rsidR="008D59AD" w:rsidRPr="008D59AD" w:rsidRDefault="008D59AD" w:rsidP="008D59AD">
      <w:pPr>
        <w:ind w:left="567"/>
        <w:jc w:val="both"/>
        <w:rPr>
          <w:rFonts w:ascii="Arial" w:hAnsi="Arial" w:cs="Arial"/>
          <w:sz w:val="22"/>
          <w:szCs w:val="22"/>
        </w:rPr>
      </w:pPr>
    </w:p>
    <w:p w:rsidR="008D59AD" w:rsidRDefault="008D59AD" w:rsidP="008D59AD">
      <w:pPr>
        <w:ind w:left="567"/>
        <w:jc w:val="both"/>
        <w:rPr>
          <w:rFonts w:ascii="Arial" w:hAnsi="Arial" w:cs="Arial"/>
          <w:sz w:val="22"/>
          <w:szCs w:val="22"/>
        </w:rPr>
      </w:pPr>
      <w:r w:rsidRPr="008D59AD">
        <w:rPr>
          <w:rFonts w:ascii="Arial" w:hAnsi="Arial" w:cs="Arial"/>
          <w:sz w:val="22"/>
          <w:szCs w:val="22"/>
        </w:rPr>
        <w:t>The Maximum Cash Drawdown (MCD) is the maximum amount of cash available to a CCG each financial year and is made up of:</w:t>
      </w:r>
    </w:p>
    <w:p w:rsidR="008D59AD" w:rsidRPr="008D59AD" w:rsidRDefault="008D59AD" w:rsidP="008D59AD">
      <w:pPr>
        <w:ind w:left="567"/>
        <w:jc w:val="both"/>
        <w:rPr>
          <w:rFonts w:ascii="Arial" w:hAnsi="Arial" w:cs="Arial"/>
          <w:sz w:val="22"/>
          <w:szCs w:val="22"/>
        </w:rPr>
      </w:pPr>
    </w:p>
    <w:p w:rsidR="000324CA" w:rsidRDefault="008D59AD" w:rsidP="008668F2">
      <w:pPr>
        <w:pStyle w:val="ListParagraph"/>
        <w:numPr>
          <w:ilvl w:val="0"/>
          <w:numId w:val="17"/>
        </w:numPr>
        <w:ind w:left="993" w:hanging="426"/>
        <w:jc w:val="both"/>
        <w:rPr>
          <w:rFonts w:ascii="Arial" w:hAnsi="Arial" w:cs="Arial"/>
          <w:sz w:val="22"/>
          <w:szCs w:val="22"/>
        </w:rPr>
      </w:pPr>
      <w:r w:rsidRPr="000324CA">
        <w:rPr>
          <w:rFonts w:ascii="Arial" w:hAnsi="Arial" w:cs="Arial"/>
          <w:sz w:val="22"/>
          <w:szCs w:val="22"/>
        </w:rPr>
        <w:t>Total Agreed Allocation</w:t>
      </w:r>
    </w:p>
    <w:p w:rsidR="000324CA" w:rsidRDefault="008D59AD" w:rsidP="008668F2">
      <w:pPr>
        <w:pStyle w:val="ListParagraph"/>
        <w:numPr>
          <w:ilvl w:val="0"/>
          <w:numId w:val="17"/>
        </w:numPr>
        <w:ind w:left="993" w:hanging="426"/>
        <w:jc w:val="both"/>
        <w:rPr>
          <w:rFonts w:ascii="Arial" w:hAnsi="Arial" w:cs="Arial"/>
          <w:sz w:val="22"/>
          <w:szCs w:val="22"/>
        </w:rPr>
      </w:pPr>
      <w:r w:rsidRPr="000324CA">
        <w:rPr>
          <w:rFonts w:ascii="Arial" w:hAnsi="Arial" w:cs="Arial"/>
          <w:sz w:val="22"/>
          <w:szCs w:val="22"/>
        </w:rPr>
        <w:t>Opening Cash Balance (i.e. at 1st April 2016)</w:t>
      </w:r>
    </w:p>
    <w:p w:rsidR="008D59AD" w:rsidRPr="000324CA" w:rsidRDefault="008D59AD" w:rsidP="008668F2">
      <w:pPr>
        <w:pStyle w:val="ListParagraph"/>
        <w:numPr>
          <w:ilvl w:val="0"/>
          <w:numId w:val="17"/>
        </w:numPr>
        <w:ind w:left="993" w:hanging="426"/>
        <w:jc w:val="both"/>
        <w:rPr>
          <w:rFonts w:ascii="Arial" w:hAnsi="Arial" w:cs="Arial"/>
          <w:sz w:val="22"/>
          <w:szCs w:val="22"/>
        </w:rPr>
      </w:pPr>
      <w:r w:rsidRPr="000324CA">
        <w:rPr>
          <w:rFonts w:ascii="Arial" w:hAnsi="Arial" w:cs="Arial"/>
          <w:sz w:val="22"/>
          <w:szCs w:val="22"/>
        </w:rPr>
        <w:t>Opening creditor balances less closing creditor balances</w:t>
      </w:r>
    </w:p>
    <w:p w:rsidR="008D59AD" w:rsidRDefault="008D59AD" w:rsidP="008D59AD">
      <w:pPr>
        <w:ind w:left="567"/>
        <w:jc w:val="both"/>
        <w:rPr>
          <w:rFonts w:ascii="Arial" w:hAnsi="Arial" w:cs="Arial"/>
          <w:sz w:val="22"/>
          <w:szCs w:val="22"/>
        </w:rPr>
      </w:pPr>
    </w:p>
    <w:p w:rsidR="008D59AD" w:rsidRDefault="008D59AD" w:rsidP="008D59AD">
      <w:pPr>
        <w:ind w:left="567"/>
        <w:jc w:val="both"/>
        <w:rPr>
          <w:rFonts w:ascii="Arial" w:hAnsi="Arial" w:cs="Arial"/>
          <w:sz w:val="22"/>
          <w:szCs w:val="22"/>
        </w:rPr>
      </w:pPr>
      <w:r w:rsidRPr="008D59AD">
        <w:rPr>
          <w:rFonts w:ascii="Arial" w:hAnsi="Arial" w:cs="Arial"/>
          <w:sz w:val="22"/>
          <w:szCs w:val="22"/>
        </w:rPr>
        <w:t xml:space="preserve">Cash is held centrally at NHS England and is allocated monthly to CCGs following notification of cash requirements.  </w:t>
      </w:r>
    </w:p>
    <w:p w:rsidR="008D59AD" w:rsidRPr="008D59AD" w:rsidRDefault="008D59AD" w:rsidP="008D59AD">
      <w:pPr>
        <w:ind w:left="567"/>
        <w:jc w:val="both"/>
        <w:rPr>
          <w:rFonts w:ascii="Arial" w:hAnsi="Arial" w:cs="Arial"/>
          <w:sz w:val="22"/>
          <w:szCs w:val="22"/>
        </w:rPr>
      </w:pPr>
    </w:p>
    <w:p w:rsidR="000324CA" w:rsidRDefault="000324CA" w:rsidP="000324CA">
      <w:pPr>
        <w:ind w:left="567"/>
        <w:jc w:val="both"/>
        <w:rPr>
          <w:rFonts w:ascii="Arial" w:hAnsi="Arial" w:cs="Arial"/>
          <w:sz w:val="22"/>
          <w:szCs w:val="22"/>
        </w:rPr>
      </w:pPr>
      <w:r w:rsidRPr="000324CA">
        <w:rPr>
          <w:rFonts w:ascii="Arial" w:hAnsi="Arial" w:cs="Arial"/>
          <w:sz w:val="22"/>
          <w:szCs w:val="22"/>
        </w:rPr>
        <w:t xml:space="preserve">As well as managing the financial position, organisations must manage their cash position.  </w:t>
      </w:r>
      <w:r>
        <w:rPr>
          <w:rFonts w:ascii="Arial" w:hAnsi="Arial" w:cs="Arial"/>
          <w:sz w:val="22"/>
          <w:szCs w:val="22"/>
        </w:rPr>
        <w:t xml:space="preserve"> </w:t>
      </w:r>
      <w:r w:rsidRPr="000324CA">
        <w:rPr>
          <w:rFonts w:ascii="Arial" w:hAnsi="Arial" w:cs="Arial"/>
          <w:sz w:val="22"/>
          <w:szCs w:val="22"/>
        </w:rPr>
        <w:t>The monthly cash requested should cover expenditure commitments as they fall due and the annual cash requested should not exceed the maximum cash drawdown limit.</w:t>
      </w:r>
    </w:p>
    <w:p w:rsidR="000324CA" w:rsidRPr="000324CA" w:rsidRDefault="000324CA" w:rsidP="000324CA">
      <w:pPr>
        <w:ind w:left="567"/>
        <w:jc w:val="both"/>
        <w:rPr>
          <w:rFonts w:ascii="Arial" w:hAnsi="Arial" w:cs="Arial"/>
          <w:sz w:val="22"/>
          <w:szCs w:val="22"/>
        </w:rPr>
      </w:pPr>
    </w:p>
    <w:p w:rsidR="008D59AD" w:rsidRDefault="000324CA" w:rsidP="000324CA">
      <w:pPr>
        <w:ind w:left="567"/>
        <w:jc w:val="both"/>
        <w:rPr>
          <w:rFonts w:ascii="Arial" w:hAnsi="Arial" w:cs="Arial"/>
          <w:sz w:val="22"/>
          <w:szCs w:val="22"/>
        </w:rPr>
      </w:pPr>
      <w:r w:rsidRPr="000324CA">
        <w:rPr>
          <w:rFonts w:ascii="Arial" w:hAnsi="Arial" w:cs="Arial"/>
          <w:sz w:val="22"/>
          <w:szCs w:val="22"/>
        </w:rPr>
        <w:t xml:space="preserve">The CCG is required to take part in an MCD submission to NHS England at months 6 and 9 to incorporate any changes in the CCGs forecast cash position to ensure sufficient cash is available </w:t>
      </w:r>
      <w:r>
        <w:rPr>
          <w:rFonts w:ascii="Arial" w:hAnsi="Arial" w:cs="Arial"/>
          <w:sz w:val="22"/>
          <w:szCs w:val="22"/>
        </w:rPr>
        <w:t xml:space="preserve">throughout the financial year.  </w:t>
      </w:r>
      <w:r w:rsidRPr="000324CA">
        <w:rPr>
          <w:rFonts w:ascii="Arial" w:hAnsi="Arial" w:cs="Arial"/>
          <w:sz w:val="22"/>
          <w:szCs w:val="22"/>
        </w:rPr>
        <w:t xml:space="preserve">An increase in MCD </w:t>
      </w:r>
      <w:r>
        <w:rPr>
          <w:rFonts w:ascii="Arial" w:hAnsi="Arial" w:cs="Arial"/>
          <w:sz w:val="22"/>
          <w:szCs w:val="22"/>
        </w:rPr>
        <w:t>cannot always be accommodated.</w:t>
      </w:r>
    </w:p>
    <w:p w:rsidR="008D379C" w:rsidRDefault="008D379C" w:rsidP="000324CA">
      <w:pPr>
        <w:ind w:left="567"/>
        <w:jc w:val="both"/>
        <w:rPr>
          <w:rFonts w:ascii="Arial" w:hAnsi="Arial" w:cs="Arial"/>
          <w:sz w:val="22"/>
          <w:szCs w:val="22"/>
        </w:rPr>
      </w:pPr>
    </w:p>
    <w:p w:rsidR="00823C5F" w:rsidRDefault="00823C5F" w:rsidP="00823C5F">
      <w:pPr>
        <w:ind w:left="567"/>
        <w:jc w:val="both"/>
        <w:rPr>
          <w:rFonts w:ascii="Arial" w:hAnsi="Arial" w:cs="Arial"/>
          <w:b/>
          <w:color w:val="000000" w:themeColor="text1"/>
          <w:sz w:val="22"/>
        </w:rPr>
      </w:pPr>
      <w:r w:rsidRPr="00823C5F">
        <w:rPr>
          <w:rFonts w:ascii="Arial" w:hAnsi="Arial" w:cs="Arial"/>
          <w:b/>
          <w:color w:val="000000" w:themeColor="text1"/>
          <w:sz w:val="22"/>
        </w:rPr>
        <w:t xml:space="preserve">Month 10 position </w:t>
      </w:r>
    </w:p>
    <w:p w:rsidR="008D379C" w:rsidRPr="00823C5F" w:rsidRDefault="008D379C" w:rsidP="00823C5F">
      <w:pPr>
        <w:ind w:left="567"/>
        <w:jc w:val="both"/>
        <w:rPr>
          <w:rFonts w:ascii="Arial" w:hAnsi="Arial" w:cs="Arial"/>
          <w:b/>
          <w:color w:val="000000" w:themeColor="text1"/>
          <w:sz w:val="22"/>
        </w:rPr>
      </w:pPr>
    </w:p>
    <w:p w:rsidR="00823C5F" w:rsidRDefault="00823C5F" w:rsidP="00823C5F">
      <w:pPr>
        <w:ind w:left="567"/>
        <w:jc w:val="both"/>
        <w:rPr>
          <w:rFonts w:ascii="Arial" w:hAnsi="Arial" w:cs="Arial"/>
          <w:color w:val="000000" w:themeColor="text1"/>
          <w:sz w:val="22"/>
        </w:rPr>
      </w:pPr>
      <w:r w:rsidRPr="00823C5F">
        <w:rPr>
          <w:rFonts w:ascii="Arial" w:hAnsi="Arial" w:cs="Arial"/>
          <w:color w:val="000000" w:themeColor="text1"/>
          <w:sz w:val="22"/>
        </w:rPr>
        <w:t>Following the month 9 submissions the MCD limit for South Sefton CCG for 2016/17 was increased from £241.032m to £249.742m.  Up to Month 10, the actual cash received is £205.205m (82.2% of MCD) against a target of £208.119m (83.3% of MCD).</w:t>
      </w:r>
    </w:p>
    <w:p w:rsidR="008D379C" w:rsidRPr="00823C5F" w:rsidRDefault="008D379C" w:rsidP="00823C5F">
      <w:pPr>
        <w:ind w:left="567"/>
        <w:jc w:val="both"/>
        <w:rPr>
          <w:rFonts w:ascii="Arial" w:hAnsi="Arial" w:cs="Arial"/>
          <w:color w:val="000000" w:themeColor="text1"/>
          <w:sz w:val="22"/>
        </w:rPr>
      </w:pPr>
    </w:p>
    <w:p w:rsidR="00823C5F" w:rsidRDefault="00823C5F" w:rsidP="00823C5F">
      <w:pPr>
        <w:ind w:left="567"/>
        <w:jc w:val="both"/>
        <w:rPr>
          <w:rFonts w:ascii="Arial" w:hAnsi="Arial" w:cs="Arial"/>
          <w:color w:val="000000" w:themeColor="text1"/>
          <w:sz w:val="22"/>
        </w:rPr>
      </w:pPr>
      <w:r w:rsidRPr="00823C5F">
        <w:rPr>
          <w:rFonts w:ascii="Arial" w:hAnsi="Arial" w:cs="Arial"/>
          <w:color w:val="000000" w:themeColor="text1"/>
          <w:sz w:val="22"/>
        </w:rPr>
        <w:t xml:space="preserve">A full year cash flow forecast, based on information available at month 10, has been produced and included in </w:t>
      </w:r>
      <w:r w:rsidRPr="008D379C">
        <w:rPr>
          <w:rFonts w:ascii="Arial" w:hAnsi="Arial" w:cs="Arial"/>
          <w:b/>
          <w:color w:val="000000" w:themeColor="text1"/>
          <w:sz w:val="22"/>
        </w:rPr>
        <w:t xml:space="preserve">Appendix 4 </w:t>
      </w:r>
      <w:r w:rsidRPr="00823C5F">
        <w:rPr>
          <w:rFonts w:ascii="Arial" w:hAnsi="Arial" w:cs="Arial"/>
          <w:color w:val="000000" w:themeColor="text1"/>
          <w:sz w:val="22"/>
        </w:rPr>
        <w:t>below.  This shows the CCG will have sufficient cash to meet its liabilities as they fall due.  At month 12, the CCG is required to meet a cash target of 1.75% of its monthly cash drawdown (approximately £320k) as detailed below the CCG is forecasting to meet this target.</w:t>
      </w:r>
    </w:p>
    <w:p w:rsidR="00823C5F" w:rsidRPr="00823C5F" w:rsidRDefault="00823C5F" w:rsidP="00823C5F">
      <w:pPr>
        <w:ind w:left="567"/>
        <w:jc w:val="both"/>
        <w:rPr>
          <w:rFonts w:ascii="Arial" w:hAnsi="Arial" w:cs="Arial"/>
          <w:color w:val="000000" w:themeColor="text1"/>
          <w:sz w:val="22"/>
        </w:rPr>
      </w:pPr>
    </w:p>
    <w:p w:rsidR="00823C5F" w:rsidRPr="00823C5F" w:rsidRDefault="00823C5F" w:rsidP="00823C5F">
      <w:pPr>
        <w:ind w:left="567"/>
        <w:jc w:val="both"/>
        <w:rPr>
          <w:rFonts w:ascii="Arial" w:hAnsi="Arial" w:cs="Arial"/>
          <w:color w:val="000000" w:themeColor="text1"/>
          <w:sz w:val="22"/>
        </w:rPr>
      </w:pPr>
      <w:r w:rsidRPr="00823C5F">
        <w:rPr>
          <w:rFonts w:ascii="Arial" w:hAnsi="Arial" w:cs="Arial"/>
          <w:color w:val="000000" w:themeColor="text1"/>
          <w:sz w:val="22"/>
        </w:rPr>
        <w:t>The CCG has been notified by NHS England that there is no opportunity prior to the year end to request additional cash</w:t>
      </w:r>
      <w:r w:rsidR="008D379C">
        <w:rPr>
          <w:rFonts w:ascii="Arial" w:hAnsi="Arial" w:cs="Arial"/>
          <w:color w:val="000000" w:themeColor="text1"/>
          <w:sz w:val="22"/>
        </w:rPr>
        <w:t xml:space="preserve"> above the MCD level of £249.742m</w:t>
      </w:r>
      <w:r w:rsidRPr="00823C5F">
        <w:rPr>
          <w:rFonts w:ascii="Arial" w:hAnsi="Arial" w:cs="Arial"/>
          <w:color w:val="000000" w:themeColor="text1"/>
          <w:sz w:val="22"/>
        </w:rPr>
        <w:t xml:space="preserve">.  As a result of the finance team having to maintain this cash position, this could potentially result in an increase in year-end creditors and deterioration in BPPC performance.  </w:t>
      </w:r>
    </w:p>
    <w:p w:rsidR="00B93736" w:rsidRDefault="00B93736" w:rsidP="008D379C">
      <w:pPr>
        <w:jc w:val="both"/>
        <w:rPr>
          <w:rFonts w:ascii="Arial" w:hAnsi="Arial" w:cs="Arial"/>
          <w:b/>
          <w:sz w:val="22"/>
          <w:szCs w:val="22"/>
        </w:rPr>
      </w:pPr>
    </w:p>
    <w:p w:rsidR="00912A8B" w:rsidRDefault="00E700CF" w:rsidP="00B31587">
      <w:pPr>
        <w:ind w:left="567"/>
        <w:jc w:val="both"/>
        <w:rPr>
          <w:rFonts w:ascii="Arial" w:hAnsi="Arial" w:cs="Arial"/>
          <w:b/>
          <w:sz w:val="22"/>
          <w:szCs w:val="22"/>
        </w:rPr>
      </w:pPr>
      <w:r w:rsidRPr="00C043E3">
        <w:rPr>
          <w:rFonts w:ascii="Arial" w:hAnsi="Arial" w:cs="Arial"/>
          <w:sz w:val="22"/>
          <w:szCs w:val="22"/>
        </w:rPr>
        <w:t xml:space="preserve">An overview of the run rate for the CCG is provided in </w:t>
      </w:r>
      <w:r w:rsidRPr="00C043E3">
        <w:rPr>
          <w:rFonts w:ascii="Arial" w:hAnsi="Arial" w:cs="Arial"/>
          <w:b/>
          <w:sz w:val="22"/>
          <w:szCs w:val="22"/>
        </w:rPr>
        <w:t>Appendix 5</w:t>
      </w:r>
      <w:r>
        <w:rPr>
          <w:rFonts w:ascii="Arial" w:hAnsi="Arial" w:cs="Arial"/>
          <w:b/>
          <w:sz w:val="22"/>
          <w:szCs w:val="22"/>
        </w:rPr>
        <w:t xml:space="preserve"> </w:t>
      </w:r>
      <w:r>
        <w:rPr>
          <w:rFonts w:ascii="Arial" w:hAnsi="Arial" w:cs="Arial"/>
          <w:sz w:val="22"/>
          <w:szCs w:val="22"/>
        </w:rPr>
        <w:t xml:space="preserve">which shows the actual </w:t>
      </w:r>
      <w:r w:rsidR="00B31587">
        <w:rPr>
          <w:rFonts w:ascii="Arial" w:hAnsi="Arial" w:cs="Arial"/>
          <w:sz w:val="22"/>
          <w:szCs w:val="22"/>
        </w:rPr>
        <w:t>spend</w:t>
      </w:r>
      <w:r w:rsidR="00317E53">
        <w:rPr>
          <w:rFonts w:ascii="Arial" w:hAnsi="Arial" w:cs="Arial"/>
          <w:sz w:val="22"/>
          <w:szCs w:val="22"/>
        </w:rPr>
        <w:t xml:space="preserve"> each month for the year to </w:t>
      </w:r>
      <w:r>
        <w:rPr>
          <w:rFonts w:ascii="Arial" w:hAnsi="Arial" w:cs="Arial"/>
          <w:sz w:val="22"/>
          <w:szCs w:val="22"/>
        </w:rPr>
        <w:t xml:space="preserve">date.  </w:t>
      </w:r>
    </w:p>
    <w:p w:rsidR="00F85A44" w:rsidRPr="00B93736" w:rsidRDefault="00F85A44" w:rsidP="008D59AD">
      <w:pPr>
        <w:ind w:left="567"/>
        <w:jc w:val="both"/>
        <w:rPr>
          <w:rFonts w:ascii="Arial" w:hAnsi="Arial" w:cs="Arial"/>
          <w:sz w:val="22"/>
          <w:szCs w:val="22"/>
        </w:rPr>
      </w:pPr>
    </w:p>
    <w:p w:rsidR="00352317" w:rsidRDefault="00352317" w:rsidP="00352317">
      <w:pPr>
        <w:jc w:val="both"/>
        <w:rPr>
          <w:rFonts w:ascii="Arial" w:hAnsi="Arial" w:cs="Arial"/>
          <w:color w:val="000000" w:themeColor="text1"/>
          <w:sz w:val="22"/>
          <w:szCs w:val="22"/>
        </w:rPr>
      </w:pPr>
    </w:p>
    <w:p w:rsidR="00A64ACE" w:rsidRPr="00D60A50" w:rsidRDefault="00A64ACE" w:rsidP="00A64ACE">
      <w:pPr>
        <w:numPr>
          <w:ilvl w:val="0"/>
          <w:numId w:val="1"/>
        </w:numPr>
        <w:shd w:val="clear" w:color="auto" w:fill="D9D9D9"/>
        <w:ind w:left="567" w:hanging="425"/>
        <w:rPr>
          <w:rFonts w:ascii="Arial" w:hAnsi="Arial" w:cs="Arial"/>
          <w:b/>
          <w:bCs/>
          <w:sz w:val="22"/>
          <w:szCs w:val="22"/>
        </w:rPr>
      </w:pPr>
      <w:r w:rsidRPr="00D60A50">
        <w:rPr>
          <w:rFonts w:ascii="Arial" w:hAnsi="Arial" w:cs="Arial"/>
          <w:b/>
          <w:bCs/>
          <w:sz w:val="22"/>
          <w:szCs w:val="22"/>
        </w:rPr>
        <w:t>Compliance with the BPPC target</w:t>
      </w:r>
    </w:p>
    <w:p w:rsidR="00877940" w:rsidRDefault="00877940" w:rsidP="00877940">
      <w:pPr>
        <w:ind w:left="567" w:hanging="567"/>
        <w:jc w:val="both"/>
        <w:rPr>
          <w:rFonts w:ascii="Arial" w:hAnsi="Arial" w:cs="Arial"/>
          <w:sz w:val="22"/>
          <w:szCs w:val="22"/>
        </w:rPr>
      </w:pPr>
    </w:p>
    <w:p w:rsidR="00A64ACE" w:rsidRPr="00745FB1" w:rsidRDefault="00A64ACE" w:rsidP="00A64ACE">
      <w:pPr>
        <w:ind w:left="567"/>
        <w:rPr>
          <w:rFonts w:ascii="Arial" w:hAnsi="Arial" w:cs="Arial"/>
          <w:sz w:val="22"/>
          <w:szCs w:val="22"/>
        </w:rPr>
      </w:pPr>
      <w:r w:rsidRPr="00745FB1">
        <w:rPr>
          <w:rFonts w:ascii="Arial" w:hAnsi="Arial" w:cs="Arial"/>
          <w:sz w:val="22"/>
          <w:szCs w:val="22"/>
        </w:rPr>
        <w:t xml:space="preserve">The NHS is required to adhere to the Better Payment Practice Compliance Target (BPPC) as part of the wider public sector </w:t>
      </w:r>
      <w:r w:rsidR="00695A51">
        <w:rPr>
          <w:rFonts w:ascii="Arial" w:hAnsi="Arial" w:cs="Arial"/>
          <w:sz w:val="22"/>
          <w:szCs w:val="22"/>
        </w:rPr>
        <w:t xml:space="preserve">responsibility </w:t>
      </w:r>
      <w:r w:rsidRPr="00745FB1">
        <w:rPr>
          <w:rFonts w:ascii="Arial" w:hAnsi="Arial" w:cs="Arial"/>
          <w:sz w:val="22"/>
          <w:szCs w:val="22"/>
        </w:rPr>
        <w:t>to</w:t>
      </w:r>
      <w:r w:rsidR="001E35E4">
        <w:rPr>
          <w:rFonts w:ascii="Arial" w:hAnsi="Arial" w:cs="Arial"/>
          <w:sz w:val="22"/>
          <w:szCs w:val="22"/>
        </w:rPr>
        <w:t xml:space="preserve"> ensure that it fulfils its role as </w:t>
      </w:r>
      <w:r w:rsidRPr="00745FB1">
        <w:rPr>
          <w:rFonts w:ascii="Arial" w:hAnsi="Arial" w:cs="Arial"/>
          <w:sz w:val="22"/>
          <w:szCs w:val="22"/>
        </w:rPr>
        <w:t xml:space="preserve">a good corporate citizen. The full year performance is reported in the CCG annual report and subject to scrutiny by the external auditors. </w:t>
      </w:r>
    </w:p>
    <w:p w:rsidR="00A64ACE" w:rsidRPr="00745FB1" w:rsidRDefault="00A64ACE" w:rsidP="00A64ACE">
      <w:pPr>
        <w:ind w:left="567"/>
        <w:rPr>
          <w:rFonts w:ascii="Arial" w:hAnsi="Arial" w:cs="Arial"/>
          <w:sz w:val="22"/>
          <w:szCs w:val="22"/>
        </w:rPr>
      </w:pPr>
    </w:p>
    <w:p w:rsidR="00A64ACE" w:rsidRDefault="00A64ACE" w:rsidP="00D10A7F">
      <w:pPr>
        <w:ind w:left="567"/>
        <w:rPr>
          <w:rFonts w:ascii="Arial" w:hAnsi="Arial" w:cs="Arial"/>
          <w:sz w:val="22"/>
          <w:szCs w:val="22"/>
        </w:rPr>
      </w:pPr>
      <w:r w:rsidRPr="00745FB1">
        <w:rPr>
          <w:rFonts w:ascii="Arial" w:hAnsi="Arial" w:cs="Arial"/>
          <w:sz w:val="22"/>
          <w:szCs w:val="22"/>
        </w:rPr>
        <w:t>Cumulat</w:t>
      </w:r>
      <w:r w:rsidR="00317E53">
        <w:rPr>
          <w:rFonts w:ascii="Arial" w:hAnsi="Arial" w:cs="Arial"/>
          <w:sz w:val="22"/>
          <w:szCs w:val="22"/>
        </w:rPr>
        <w:t xml:space="preserve">ive performance for the year to </w:t>
      </w:r>
      <w:r w:rsidRPr="00745FB1">
        <w:rPr>
          <w:rFonts w:ascii="Arial" w:hAnsi="Arial" w:cs="Arial"/>
          <w:sz w:val="22"/>
          <w:szCs w:val="22"/>
        </w:rPr>
        <w:t xml:space="preserve">date is below the 95% target for all areas, except payments to NHS providers by value. BPPC Performance is detailed in </w:t>
      </w:r>
      <w:r w:rsidRPr="003331DD">
        <w:rPr>
          <w:rFonts w:ascii="Arial" w:hAnsi="Arial" w:cs="Arial"/>
          <w:b/>
          <w:sz w:val="22"/>
          <w:szCs w:val="22"/>
        </w:rPr>
        <w:t>G</w:t>
      </w:r>
      <w:r w:rsidRPr="00745FB1">
        <w:rPr>
          <w:rFonts w:ascii="Arial" w:hAnsi="Arial" w:cs="Arial"/>
          <w:b/>
          <w:sz w:val="22"/>
          <w:szCs w:val="22"/>
        </w:rPr>
        <w:t xml:space="preserve">raphs </w:t>
      </w:r>
      <w:r w:rsidR="00F93E4B">
        <w:rPr>
          <w:rFonts w:ascii="Arial" w:hAnsi="Arial" w:cs="Arial"/>
          <w:b/>
          <w:sz w:val="22"/>
          <w:szCs w:val="22"/>
        </w:rPr>
        <w:t>9</w:t>
      </w:r>
      <w:r w:rsidRPr="00745FB1">
        <w:rPr>
          <w:rFonts w:ascii="Arial" w:hAnsi="Arial" w:cs="Arial"/>
          <w:b/>
          <w:sz w:val="22"/>
          <w:szCs w:val="22"/>
        </w:rPr>
        <w:t xml:space="preserve"> and </w:t>
      </w:r>
      <w:r w:rsidR="00F93E4B">
        <w:rPr>
          <w:rFonts w:ascii="Arial" w:hAnsi="Arial" w:cs="Arial"/>
          <w:b/>
          <w:sz w:val="22"/>
          <w:szCs w:val="22"/>
        </w:rPr>
        <w:t>10</w:t>
      </w:r>
      <w:r w:rsidRPr="00745FB1">
        <w:rPr>
          <w:rFonts w:ascii="Arial" w:hAnsi="Arial" w:cs="Arial"/>
          <w:sz w:val="22"/>
          <w:szCs w:val="22"/>
        </w:rPr>
        <w:t xml:space="preserve"> below</w:t>
      </w:r>
      <w:r>
        <w:rPr>
          <w:rFonts w:ascii="Arial" w:hAnsi="Arial" w:cs="Arial"/>
          <w:sz w:val="22"/>
          <w:szCs w:val="22"/>
        </w:rPr>
        <w:t>.</w:t>
      </w:r>
      <w:r w:rsidR="00352317">
        <w:rPr>
          <w:rFonts w:ascii="Arial" w:hAnsi="Arial" w:cs="Arial"/>
          <w:sz w:val="22"/>
          <w:szCs w:val="22"/>
        </w:rPr>
        <w:t xml:space="preserve"> </w:t>
      </w:r>
      <w:r w:rsidR="000324CA">
        <w:rPr>
          <w:rFonts w:ascii="Arial" w:hAnsi="Arial" w:cs="Arial"/>
          <w:sz w:val="22"/>
          <w:szCs w:val="22"/>
        </w:rPr>
        <w:t xml:space="preserve"> </w:t>
      </w:r>
      <w:r w:rsidR="00352317">
        <w:rPr>
          <w:rFonts w:ascii="Arial" w:hAnsi="Arial" w:cs="Arial"/>
          <w:sz w:val="22"/>
          <w:szCs w:val="22"/>
        </w:rPr>
        <w:t xml:space="preserve">The drop in performance seen in Graph 10 for Non NHS creditors relates directly to the Quarter 4 2015/16 BCF invoice which was paid one week later than </w:t>
      </w:r>
      <w:r w:rsidR="0004133A">
        <w:rPr>
          <w:rFonts w:ascii="Arial" w:hAnsi="Arial" w:cs="Arial"/>
          <w:sz w:val="22"/>
          <w:szCs w:val="22"/>
        </w:rPr>
        <w:t>scheduled</w:t>
      </w:r>
      <w:r w:rsidR="00352317">
        <w:rPr>
          <w:rFonts w:ascii="Arial" w:hAnsi="Arial" w:cs="Arial"/>
          <w:sz w:val="22"/>
          <w:szCs w:val="22"/>
        </w:rPr>
        <w:t>.</w:t>
      </w:r>
    </w:p>
    <w:p w:rsidR="00DC095A" w:rsidRDefault="00DC095A" w:rsidP="00D10A7F">
      <w:pPr>
        <w:ind w:left="567"/>
        <w:rPr>
          <w:rFonts w:ascii="Arial" w:hAnsi="Arial" w:cs="Arial"/>
          <w:sz w:val="22"/>
          <w:szCs w:val="22"/>
        </w:rPr>
      </w:pPr>
    </w:p>
    <w:p w:rsidR="00DC095A" w:rsidRDefault="00DC095A" w:rsidP="00D10A7F">
      <w:pPr>
        <w:ind w:left="567"/>
        <w:rPr>
          <w:rFonts w:ascii="Arial" w:hAnsi="Arial" w:cs="Arial"/>
          <w:sz w:val="22"/>
          <w:szCs w:val="22"/>
        </w:rPr>
      </w:pPr>
      <w:r w:rsidRPr="00DC095A">
        <w:rPr>
          <w:rFonts w:ascii="Arial" w:hAnsi="Arial" w:cs="Arial"/>
          <w:b/>
          <w:sz w:val="22"/>
          <w:szCs w:val="22"/>
        </w:rPr>
        <w:t>Graph 10</w:t>
      </w:r>
      <w:r>
        <w:rPr>
          <w:rFonts w:ascii="Arial" w:hAnsi="Arial" w:cs="Arial"/>
          <w:sz w:val="22"/>
          <w:szCs w:val="22"/>
        </w:rPr>
        <w:t xml:space="preserve"> shows a reduction in performance for non-NHS value, this is due to a small number of high value invoices not approved </w:t>
      </w:r>
      <w:r w:rsidR="00C4007D">
        <w:rPr>
          <w:rFonts w:ascii="Arial" w:hAnsi="Arial" w:cs="Arial"/>
          <w:sz w:val="22"/>
          <w:szCs w:val="22"/>
        </w:rPr>
        <w:t>within the required timescale due to system downtime.</w:t>
      </w:r>
    </w:p>
    <w:tbl>
      <w:tblPr>
        <w:tblStyle w:val="TableGrid"/>
        <w:tblpPr w:leftFromText="180" w:rightFromText="180" w:vertAnchor="text" w:horzAnchor="margin" w:tblpY="5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957"/>
      </w:tblGrid>
      <w:tr w:rsidR="00A64ACE" w:rsidRPr="008C43CF" w:rsidTr="00011379">
        <w:trPr>
          <w:trHeight w:val="3280"/>
        </w:trPr>
        <w:tc>
          <w:tcPr>
            <w:tcW w:w="2485" w:type="pct"/>
          </w:tcPr>
          <w:p w:rsidR="00A64ACE" w:rsidRPr="009B0807" w:rsidRDefault="00A7796F" w:rsidP="00011379">
            <w:pPr>
              <w:rPr>
                <w:rFonts w:ascii="Arial" w:hAnsi="Arial" w:cs="Arial"/>
                <w:b/>
                <w:i/>
                <w:sz w:val="22"/>
                <w:szCs w:val="22"/>
                <w:highlight w:val="yellow"/>
              </w:rPr>
            </w:pPr>
            <w:r>
              <w:rPr>
                <w:rFonts w:ascii="Arial" w:hAnsi="Arial" w:cs="Arial"/>
                <w:b/>
                <w:i/>
                <w:noProof/>
                <w:sz w:val="22"/>
                <w:szCs w:val="22"/>
              </w:rPr>
              <w:drawing>
                <wp:inline distT="0" distB="0" distL="0" distR="0" wp14:anchorId="7F1329F9" wp14:editId="1D3E3DFB">
                  <wp:extent cx="2943225" cy="20193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7433" cy="2022187"/>
                          </a:xfrm>
                          <a:prstGeom prst="rect">
                            <a:avLst/>
                          </a:prstGeom>
                          <a:noFill/>
                        </pic:spPr>
                      </pic:pic>
                    </a:graphicData>
                  </a:graphic>
                </wp:inline>
              </w:drawing>
            </w:r>
          </w:p>
        </w:tc>
        <w:tc>
          <w:tcPr>
            <w:tcW w:w="2515" w:type="pct"/>
          </w:tcPr>
          <w:p w:rsidR="00A64ACE" w:rsidRPr="009B0807" w:rsidRDefault="00A7796F" w:rsidP="00011379">
            <w:pPr>
              <w:rPr>
                <w:rFonts w:ascii="Arial" w:hAnsi="Arial" w:cs="Arial"/>
                <w:b/>
                <w:i/>
                <w:sz w:val="22"/>
                <w:szCs w:val="22"/>
                <w:highlight w:val="yellow"/>
              </w:rPr>
            </w:pPr>
            <w:r>
              <w:rPr>
                <w:rFonts w:ascii="Arial" w:hAnsi="Arial" w:cs="Arial"/>
                <w:b/>
                <w:i/>
                <w:noProof/>
                <w:sz w:val="22"/>
                <w:szCs w:val="22"/>
              </w:rPr>
              <w:drawing>
                <wp:inline distT="0" distB="0" distL="0" distR="0" wp14:anchorId="5FE95D6D">
                  <wp:extent cx="2867025" cy="20193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74715" cy="2024716"/>
                          </a:xfrm>
                          <a:prstGeom prst="rect">
                            <a:avLst/>
                          </a:prstGeom>
                          <a:noFill/>
                        </pic:spPr>
                      </pic:pic>
                    </a:graphicData>
                  </a:graphic>
                </wp:inline>
              </w:drawing>
            </w:r>
          </w:p>
        </w:tc>
      </w:tr>
    </w:tbl>
    <w:p w:rsidR="00A64ACE" w:rsidRDefault="00A64ACE" w:rsidP="00D10A7F">
      <w:pPr>
        <w:jc w:val="both"/>
        <w:rPr>
          <w:rFonts w:ascii="Arial" w:hAnsi="Arial" w:cs="Arial"/>
          <w:sz w:val="22"/>
          <w:szCs w:val="22"/>
        </w:rPr>
      </w:pPr>
    </w:p>
    <w:p w:rsidR="00A64ACE" w:rsidRDefault="00F93E4B" w:rsidP="00877940">
      <w:pPr>
        <w:ind w:left="567" w:hanging="567"/>
        <w:jc w:val="both"/>
        <w:rPr>
          <w:rFonts w:ascii="Arial" w:hAnsi="Arial" w:cs="Arial"/>
          <w:b/>
          <w:sz w:val="22"/>
          <w:szCs w:val="22"/>
        </w:rPr>
      </w:pPr>
      <w:r w:rsidRPr="00F93E4B">
        <w:rPr>
          <w:rFonts w:ascii="Arial" w:hAnsi="Arial" w:cs="Arial"/>
          <w:b/>
          <w:sz w:val="22"/>
          <w:szCs w:val="22"/>
        </w:rPr>
        <w:t>Graph 9</w:t>
      </w:r>
      <w:r w:rsidR="001C6619" w:rsidRPr="00F93E4B">
        <w:rPr>
          <w:rFonts w:ascii="Arial" w:hAnsi="Arial" w:cs="Arial"/>
          <w:b/>
          <w:sz w:val="22"/>
          <w:szCs w:val="22"/>
        </w:rPr>
        <w:tab/>
      </w:r>
      <w:r w:rsidR="001C6619" w:rsidRPr="00F93E4B">
        <w:rPr>
          <w:rFonts w:ascii="Arial" w:hAnsi="Arial" w:cs="Arial"/>
          <w:b/>
          <w:sz w:val="22"/>
          <w:szCs w:val="22"/>
        </w:rPr>
        <w:tab/>
      </w:r>
      <w:r w:rsidR="001C6619" w:rsidRPr="00F93E4B">
        <w:rPr>
          <w:rFonts w:ascii="Arial" w:hAnsi="Arial" w:cs="Arial"/>
          <w:b/>
          <w:sz w:val="22"/>
          <w:szCs w:val="22"/>
        </w:rPr>
        <w:tab/>
      </w:r>
      <w:r w:rsidR="001C6619" w:rsidRPr="00F93E4B">
        <w:rPr>
          <w:rFonts w:ascii="Arial" w:hAnsi="Arial" w:cs="Arial"/>
          <w:b/>
          <w:sz w:val="22"/>
          <w:szCs w:val="22"/>
        </w:rPr>
        <w:tab/>
      </w:r>
      <w:r w:rsidR="001C6619" w:rsidRPr="00F93E4B">
        <w:rPr>
          <w:rFonts w:ascii="Arial" w:hAnsi="Arial" w:cs="Arial"/>
          <w:b/>
          <w:sz w:val="22"/>
          <w:szCs w:val="22"/>
        </w:rPr>
        <w:tab/>
      </w:r>
      <w:r w:rsidR="001C6619" w:rsidRPr="00F93E4B">
        <w:rPr>
          <w:rFonts w:ascii="Arial" w:hAnsi="Arial" w:cs="Arial"/>
          <w:b/>
          <w:sz w:val="22"/>
          <w:szCs w:val="22"/>
        </w:rPr>
        <w:tab/>
      </w:r>
      <w:r w:rsidRPr="00F93E4B">
        <w:rPr>
          <w:rFonts w:ascii="Arial" w:hAnsi="Arial" w:cs="Arial"/>
          <w:b/>
          <w:sz w:val="22"/>
          <w:szCs w:val="22"/>
        </w:rPr>
        <w:t>Graph 10</w:t>
      </w:r>
    </w:p>
    <w:p w:rsidR="001A278F" w:rsidRDefault="001A278F" w:rsidP="00877940">
      <w:pPr>
        <w:ind w:left="567" w:hanging="567"/>
        <w:jc w:val="both"/>
        <w:rPr>
          <w:rFonts w:ascii="Arial" w:hAnsi="Arial" w:cs="Arial"/>
          <w:b/>
          <w:sz w:val="22"/>
          <w:szCs w:val="22"/>
        </w:rPr>
      </w:pPr>
    </w:p>
    <w:p w:rsidR="00CB32A2" w:rsidRPr="00F93E4B" w:rsidRDefault="00CB32A2" w:rsidP="00877940">
      <w:pPr>
        <w:ind w:left="567" w:hanging="567"/>
        <w:jc w:val="both"/>
        <w:rPr>
          <w:rFonts w:ascii="Arial" w:hAnsi="Arial" w:cs="Arial"/>
          <w:b/>
          <w:sz w:val="22"/>
          <w:szCs w:val="22"/>
        </w:rPr>
      </w:pPr>
    </w:p>
    <w:p w:rsidR="00877940" w:rsidRPr="00D60A50" w:rsidRDefault="00BA529C" w:rsidP="00877940">
      <w:pPr>
        <w:numPr>
          <w:ilvl w:val="0"/>
          <w:numId w:val="1"/>
        </w:numPr>
        <w:shd w:val="clear" w:color="auto" w:fill="D9D9D9"/>
        <w:ind w:left="567" w:hanging="567"/>
        <w:jc w:val="both"/>
        <w:rPr>
          <w:rFonts w:ascii="Arial" w:hAnsi="Arial" w:cs="Arial"/>
          <w:b/>
          <w:sz w:val="22"/>
          <w:szCs w:val="22"/>
        </w:rPr>
      </w:pPr>
      <w:r w:rsidRPr="00D60A50">
        <w:rPr>
          <w:rFonts w:ascii="Arial" w:hAnsi="Arial" w:cs="Arial"/>
          <w:b/>
          <w:sz w:val="22"/>
          <w:szCs w:val="22"/>
        </w:rPr>
        <w:lastRenderedPageBreak/>
        <w:t>Evaluation of risks and opportunities</w:t>
      </w:r>
    </w:p>
    <w:p w:rsidR="00877940" w:rsidRDefault="00877940" w:rsidP="00877940">
      <w:pPr>
        <w:ind w:left="567" w:hanging="567"/>
        <w:jc w:val="both"/>
        <w:rPr>
          <w:rFonts w:ascii="Arial" w:hAnsi="Arial" w:cs="Arial"/>
          <w:sz w:val="22"/>
          <w:szCs w:val="22"/>
        </w:rPr>
      </w:pPr>
    </w:p>
    <w:p w:rsidR="00D10A7F" w:rsidRDefault="00E43AFE" w:rsidP="00E43AFE">
      <w:pPr>
        <w:ind w:left="720"/>
        <w:jc w:val="both"/>
        <w:rPr>
          <w:rFonts w:ascii="Arial" w:hAnsi="Arial" w:cs="Arial"/>
          <w:sz w:val="22"/>
          <w:szCs w:val="22"/>
        </w:rPr>
      </w:pPr>
      <w:r>
        <w:rPr>
          <w:rFonts w:ascii="Arial" w:hAnsi="Arial" w:cs="Arial"/>
          <w:sz w:val="22"/>
          <w:szCs w:val="22"/>
        </w:rPr>
        <w:t>The primary financial risk for the CCG continues to be non-delivery of the QIPP target in th</w:t>
      </w:r>
      <w:r w:rsidR="005C0780">
        <w:rPr>
          <w:rFonts w:ascii="Arial" w:hAnsi="Arial" w:cs="Arial"/>
          <w:sz w:val="22"/>
          <w:szCs w:val="22"/>
        </w:rPr>
        <w:t>e</w:t>
      </w:r>
      <w:r w:rsidR="00011379">
        <w:rPr>
          <w:rFonts w:ascii="Arial" w:hAnsi="Arial" w:cs="Arial"/>
          <w:sz w:val="22"/>
          <w:szCs w:val="22"/>
        </w:rPr>
        <w:t xml:space="preserve"> financial </w:t>
      </w:r>
      <w:r>
        <w:rPr>
          <w:rFonts w:ascii="Arial" w:hAnsi="Arial" w:cs="Arial"/>
          <w:sz w:val="22"/>
          <w:szCs w:val="22"/>
        </w:rPr>
        <w:t xml:space="preserve">year. </w:t>
      </w:r>
      <w:r w:rsidR="00024762">
        <w:rPr>
          <w:rFonts w:ascii="Arial" w:hAnsi="Arial" w:cs="Arial"/>
          <w:sz w:val="22"/>
          <w:szCs w:val="22"/>
        </w:rPr>
        <w:t>The forecast position is dependent on delivery of £1.331m QIPP schemes in the remainder of the financial year.</w:t>
      </w:r>
    </w:p>
    <w:p w:rsidR="00E43AFE" w:rsidRPr="007970CB" w:rsidRDefault="00E43AFE" w:rsidP="00E43AFE">
      <w:pPr>
        <w:jc w:val="both"/>
        <w:rPr>
          <w:rFonts w:ascii="Arial" w:hAnsi="Arial" w:cs="Arial"/>
          <w:sz w:val="22"/>
          <w:szCs w:val="22"/>
        </w:rPr>
      </w:pPr>
    </w:p>
    <w:p w:rsidR="00E43AFE" w:rsidRPr="00AC0B78" w:rsidRDefault="00E43AFE" w:rsidP="00E43AFE">
      <w:pPr>
        <w:ind w:firstLine="720"/>
        <w:rPr>
          <w:rFonts w:ascii="Arial" w:hAnsi="Arial" w:cs="Arial"/>
          <w:bCs/>
          <w:sz w:val="22"/>
          <w:szCs w:val="22"/>
        </w:rPr>
      </w:pPr>
      <w:r>
        <w:rPr>
          <w:rFonts w:ascii="Arial" w:hAnsi="Arial" w:cs="Arial"/>
          <w:bCs/>
          <w:sz w:val="22"/>
          <w:szCs w:val="22"/>
        </w:rPr>
        <w:t>T</w:t>
      </w:r>
      <w:r w:rsidRPr="00AC0B78">
        <w:rPr>
          <w:rFonts w:ascii="Arial" w:hAnsi="Arial" w:cs="Arial"/>
          <w:bCs/>
          <w:sz w:val="22"/>
          <w:szCs w:val="22"/>
        </w:rPr>
        <w:t xml:space="preserve">here are </w:t>
      </w:r>
      <w:r w:rsidR="00D10A7F">
        <w:rPr>
          <w:rFonts w:ascii="Arial" w:hAnsi="Arial" w:cs="Arial"/>
          <w:bCs/>
          <w:sz w:val="22"/>
          <w:szCs w:val="22"/>
        </w:rPr>
        <w:t xml:space="preserve">also </w:t>
      </w:r>
      <w:r w:rsidRPr="00AC0B78">
        <w:rPr>
          <w:rFonts w:ascii="Arial" w:hAnsi="Arial" w:cs="Arial"/>
          <w:bCs/>
          <w:sz w:val="22"/>
          <w:szCs w:val="22"/>
        </w:rPr>
        <w:t xml:space="preserve">a number of other risks that require </w:t>
      </w:r>
      <w:r>
        <w:rPr>
          <w:rFonts w:ascii="Arial" w:hAnsi="Arial" w:cs="Arial"/>
          <w:bCs/>
          <w:sz w:val="22"/>
          <w:szCs w:val="22"/>
        </w:rPr>
        <w:t xml:space="preserve">ongoing </w:t>
      </w:r>
      <w:r w:rsidRPr="00AC0B78">
        <w:rPr>
          <w:rFonts w:ascii="Arial" w:hAnsi="Arial" w:cs="Arial"/>
          <w:bCs/>
          <w:sz w:val="22"/>
          <w:szCs w:val="22"/>
        </w:rPr>
        <w:t>monitoring and managing:</w:t>
      </w:r>
    </w:p>
    <w:p w:rsidR="00E43AFE" w:rsidRPr="00AC0B78" w:rsidRDefault="00E43AFE" w:rsidP="00E43AFE">
      <w:pPr>
        <w:rPr>
          <w:rFonts w:ascii="Arial" w:hAnsi="Arial" w:cs="Arial"/>
          <w:bCs/>
          <w:sz w:val="22"/>
          <w:szCs w:val="22"/>
        </w:rPr>
      </w:pPr>
      <w:r>
        <w:rPr>
          <w:rFonts w:ascii="Arial" w:hAnsi="Arial" w:cs="Arial"/>
          <w:bCs/>
          <w:sz w:val="22"/>
          <w:szCs w:val="22"/>
        </w:rPr>
        <w:t xml:space="preserve"> </w:t>
      </w:r>
    </w:p>
    <w:p w:rsidR="0004133A" w:rsidRDefault="00E43AFE" w:rsidP="00E43AFE">
      <w:pPr>
        <w:pStyle w:val="ListParagraph"/>
        <w:numPr>
          <w:ilvl w:val="0"/>
          <w:numId w:val="14"/>
        </w:numPr>
        <w:ind w:left="1134" w:hanging="283"/>
        <w:jc w:val="both"/>
        <w:rPr>
          <w:rFonts w:ascii="Arial" w:hAnsi="Arial" w:cs="Arial"/>
          <w:sz w:val="22"/>
          <w:szCs w:val="22"/>
        </w:rPr>
      </w:pPr>
      <w:r w:rsidRPr="007F780C">
        <w:rPr>
          <w:rFonts w:ascii="Arial" w:hAnsi="Arial" w:cs="Arial"/>
          <w:sz w:val="22"/>
          <w:szCs w:val="22"/>
        </w:rPr>
        <w:t xml:space="preserve">Acute contracts – The CCG has experienced significant growth in </w:t>
      </w:r>
      <w:r>
        <w:rPr>
          <w:rFonts w:ascii="Arial" w:hAnsi="Arial" w:cs="Arial"/>
          <w:sz w:val="22"/>
          <w:szCs w:val="22"/>
        </w:rPr>
        <w:t>acute care</w:t>
      </w:r>
      <w:r w:rsidR="00317E53">
        <w:rPr>
          <w:rFonts w:ascii="Arial" w:hAnsi="Arial" w:cs="Arial"/>
          <w:sz w:val="22"/>
          <w:szCs w:val="22"/>
        </w:rPr>
        <w:t xml:space="preserve"> year on year, </w:t>
      </w:r>
      <w:r w:rsidR="00D60A50">
        <w:rPr>
          <w:rFonts w:ascii="Arial" w:hAnsi="Arial" w:cs="Arial"/>
          <w:sz w:val="22"/>
          <w:szCs w:val="22"/>
        </w:rPr>
        <w:t xml:space="preserve">and this trend has continued in the current financial year.  </w:t>
      </w:r>
      <w:r w:rsidR="00024762">
        <w:rPr>
          <w:rFonts w:ascii="Arial" w:hAnsi="Arial" w:cs="Arial"/>
          <w:sz w:val="22"/>
          <w:szCs w:val="22"/>
        </w:rPr>
        <w:t>Further</w:t>
      </w:r>
      <w:r w:rsidR="005C4F50">
        <w:rPr>
          <w:rFonts w:ascii="Arial" w:hAnsi="Arial" w:cs="Arial"/>
          <w:sz w:val="22"/>
          <w:szCs w:val="22"/>
        </w:rPr>
        <w:t xml:space="preserve"> </w:t>
      </w:r>
      <w:r w:rsidR="00C4007D">
        <w:rPr>
          <w:rFonts w:ascii="Arial" w:hAnsi="Arial" w:cs="Arial"/>
          <w:sz w:val="22"/>
          <w:szCs w:val="22"/>
        </w:rPr>
        <w:t xml:space="preserve">risk in relation to </w:t>
      </w:r>
      <w:r w:rsidR="00853F7D">
        <w:rPr>
          <w:rFonts w:ascii="Arial" w:hAnsi="Arial" w:cs="Arial"/>
          <w:sz w:val="22"/>
          <w:szCs w:val="22"/>
        </w:rPr>
        <w:t>over</w:t>
      </w:r>
      <w:r w:rsidR="00024762">
        <w:rPr>
          <w:rFonts w:ascii="Arial" w:hAnsi="Arial" w:cs="Arial"/>
          <w:sz w:val="22"/>
          <w:szCs w:val="22"/>
        </w:rPr>
        <w:t xml:space="preserve"> </w:t>
      </w:r>
      <w:r w:rsidR="00853F7D">
        <w:rPr>
          <w:rFonts w:ascii="Arial" w:hAnsi="Arial" w:cs="Arial"/>
          <w:sz w:val="22"/>
          <w:szCs w:val="22"/>
        </w:rPr>
        <w:t>perfo</w:t>
      </w:r>
      <w:r w:rsidR="00024762">
        <w:rPr>
          <w:rFonts w:ascii="Arial" w:hAnsi="Arial" w:cs="Arial"/>
          <w:sz w:val="22"/>
          <w:szCs w:val="22"/>
        </w:rPr>
        <w:t>r</w:t>
      </w:r>
      <w:r w:rsidR="00853F7D">
        <w:rPr>
          <w:rFonts w:ascii="Arial" w:hAnsi="Arial" w:cs="Arial"/>
          <w:sz w:val="22"/>
          <w:szCs w:val="22"/>
        </w:rPr>
        <w:t xml:space="preserve">mance </w:t>
      </w:r>
      <w:r w:rsidR="0004133A">
        <w:rPr>
          <w:rFonts w:ascii="Arial" w:hAnsi="Arial" w:cs="Arial"/>
          <w:sz w:val="22"/>
          <w:szCs w:val="22"/>
        </w:rPr>
        <w:t xml:space="preserve">at Aintree </w:t>
      </w:r>
      <w:r w:rsidR="00024762">
        <w:rPr>
          <w:rFonts w:ascii="Arial" w:hAnsi="Arial" w:cs="Arial"/>
          <w:sz w:val="22"/>
          <w:szCs w:val="22"/>
        </w:rPr>
        <w:t>has been mitigated with an agreed year end position.  There remains risk on other NHS contracts in respect of quarter 4 performance.</w:t>
      </w:r>
    </w:p>
    <w:p w:rsidR="0004133A" w:rsidRDefault="0004133A" w:rsidP="0004133A">
      <w:pPr>
        <w:pStyle w:val="ListParagraph"/>
        <w:ind w:left="1134"/>
        <w:jc w:val="both"/>
        <w:rPr>
          <w:rFonts w:ascii="Arial" w:hAnsi="Arial" w:cs="Arial"/>
          <w:sz w:val="22"/>
          <w:szCs w:val="22"/>
        </w:rPr>
      </w:pPr>
    </w:p>
    <w:p w:rsidR="00E43AFE" w:rsidRDefault="00E43AFE" w:rsidP="0004133A">
      <w:pPr>
        <w:pStyle w:val="ListParagraph"/>
        <w:ind w:left="1134"/>
        <w:jc w:val="both"/>
        <w:rPr>
          <w:rFonts w:ascii="Arial" w:hAnsi="Arial" w:cs="Arial"/>
          <w:sz w:val="22"/>
          <w:szCs w:val="22"/>
        </w:rPr>
      </w:pPr>
      <w:r w:rsidRPr="0004133A">
        <w:rPr>
          <w:rFonts w:ascii="Arial" w:hAnsi="Arial" w:cs="Arial"/>
          <w:sz w:val="22"/>
          <w:szCs w:val="22"/>
        </w:rPr>
        <w:t>All members of the CCG have</w:t>
      </w:r>
      <w:r w:rsidR="005C4F50" w:rsidRPr="0004133A">
        <w:rPr>
          <w:rFonts w:ascii="Arial" w:hAnsi="Arial" w:cs="Arial"/>
          <w:sz w:val="22"/>
          <w:szCs w:val="22"/>
        </w:rPr>
        <w:t xml:space="preserve"> a role to play in managing these</w:t>
      </w:r>
      <w:r w:rsidRPr="0004133A">
        <w:rPr>
          <w:rFonts w:ascii="Arial" w:hAnsi="Arial" w:cs="Arial"/>
          <w:sz w:val="22"/>
          <w:szCs w:val="22"/>
        </w:rPr>
        <w:t xml:space="preserve"> risk</w:t>
      </w:r>
      <w:r w:rsidR="005C4F50" w:rsidRPr="0004133A">
        <w:rPr>
          <w:rFonts w:ascii="Arial" w:hAnsi="Arial" w:cs="Arial"/>
          <w:sz w:val="22"/>
          <w:szCs w:val="22"/>
        </w:rPr>
        <w:t>s</w:t>
      </w:r>
      <w:r w:rsidRPr="0004133A">
        <w:rPr>
          <w:rFonts w:ascii="Arial" w:hAnsi="Arial" w:cs="Arial"/>
          <w:sz w:val="22"/>
          <w:szCs w:val="22"/>
        </w:rPr>
        <w:t xml:space="preserve"> including GPs and other Health professionals to ensure individuals are treated in the most clinically appr</w:t>
      </w:r>
      <w:r w:rsidR="00853F7D">
        <w:rPr>
          <w:rFonts w:ascii="Arial" w:hAnsi="Arial" w:cs="Arial"/>
          <w:sz w:val="22"/>
          <w:szCs w:val="22"/>
        </w:rPr>
        <w:t xml:space="preserve">opriate and cost effective way to ensure that </w:t>
      </w:r>
      <w:r w:rsidRPr="0004133A">
        <w:rPr>
          <w:rFonts w:ascii="Arial" w:hAnsi="Arial" w:cs="Arial"/>
          <w:sz w:val="22"/>
          <w:szCs w:val="22"/>
        </w:rPr>
        <w:t xml:space="preserve">the acute providers are charging correctly for the clinical activity that is undertaken. </w:t>
      </w:r>
      <w:r w:rsidR="00011379" w:rsidRPr="0004133A">
        <w:rPr>
          <w:rFonts w:ascii="Arial" w:hAnsi="Arial" w:cs="Arial"/>
          <w:sz w:val="22"/>
          <w:szCs w:val="22"/>
        </w:rPr>
        <w:t>This is continually reviewed during the financial year.</w:t>
      </w:r>
    </w:p>
    <w:p w:rsidR="00E43AFE" w:rsidRDefault="00E43AFE" w:rsidP="00E43AFE">
      <w:pPr>
        <w:pStyle w:val="ListParagraph"/>
        <w:ind w:left="1134"/>
        <w:jc w:val="both"/>
        <w:rPr>
          <w:rFonts w:ascii="Arial" w:hAnsi="Arial" w:cs="Arial"/>
          <w:sz w:val="22"/>
          <w:szCs w:val="22"/>
        </w:rPr>
      </w:pPr>
    </w:p>
    <w:p w:rsidR="00510CF6" w:rsidRDefault="00E43AFE" w:rsidP="00510CF6">
      <w:pPr>
        <w:pStyle w:val="ListParagraph"/>
        <w:numPr>
          <w:ilvl w:val="0"/>
          <w:numId w:val="14"/>
        </w:numPr>
        <w:ind w:left="1134" w:hanging="283"/>
        <w:jc w:val="both"/>
        <w:rPr>
          <w:rFonts w:ascii="Arial" w:hAnsi="Arial" w:cs="Arial"/>
          <w:bCs/>
          <w:sz w:val="22"/>
          <w:szCs w:val="22"/>
        </w:rPr>
      </w:pPr>
      <w:r w:rsidRPr="00510CF6">
        <w:rPr>
          <w:rFonts w:ascii="Arial" w:hAnsi="Arial" w:cs="Arial"/>
          <w:bCs/>
          <w:sz w:val="22"/>
          <w:szCs w:val="22"/>
        </w:rPr>
        <w:t xml:space="preserve">Prescribing - This is a volatile area of </w:t>
      </w:r>
      <w:r w:rsidR="00853F7D">
        <w:rPr>
          <w:rFonts w:ascii="Arial" w:hAnsi="Arial" w:cs="Arial"/>
          <w:bCs/>
          <w:sz w:val="22"/>
          <w:szCs w:val="22"/>
        </w:rPr>
        <w:t>expenditure</w:t>
      </w:r>
      <w:r w:rsidRPr="00510CF6">
        <w:rPr>
          <w:rFonts w:ascii="Arial" w:hAnsi="Arial" w:cs="Arial"/>
          <w:bCs/>
          <w:sz w:val="22"/>
          <w:szCs w:val="22"/>
        </w:rPr>
        <w:t xml:space="preserve"> but represents one of the biggest opportunities for the CCG, and as such this makes up a significant element of the QIPP program</w:t>
      </w:r>
      <w:r w:rsidR="00853F7D">
        <w:rPr>
          <w:rFonts w:ascii="Arial" w:hAnsi="Arial" w:cs="Arial"/>
          <w:bCs/>
          <w:sz w:val="22"/>
          <w:szCs w:val="22"/>
        </w:rPr>
        <w:t>me</w:t>
      </w:r>
      <w:r w:rsidRPr="00510CF6">
        <w:rPr>
          <w:rFonts w:ascii="Arial" w:hAnsi="Arial" w:cs="Arial"/>
          <w:bCs/>
          <w:sz w:val="22"/>
          <w:szCs w:val="22"/>
        </w:rPr>
        <w:t xml:space="preserve"> for 2016/17</w:t>
      </w:r>
      <w:r w:rsidR="00872647" w:rsidRPr="00510CF6">
        <w:rPr>
          <w:rFonts w:ascii="Arial" w:hAnsi="Arial" w:cs="Arial"/>
          <w:bCs/>
          <w:sz w:val="22"/>
          <w:szCs w:val="22"/>
        </w:rPr>
        <w:t xml:space="preserve">.  </w:t>
      </w:r>
      <w:r w:rsidR="00510CF6">
        <w:rPr>
          <w:rFonts w:ascii="Arial" w:hAnsi="Arial" w:cs="Arial"/>
          <w:bCs/>
          <w:sz w:val="22"/>
          <w:szCs w:val="22"/>
        </w:rPr>
        <w:t>The monthly expenditure and forecast is monitored closely as QIPP schemes continue to be delivered.</w:t>
      </w:r>
    </w:p>
    <w:p w:rsidR="005F4367" w:rsidRDefault="005F4367" w:rsidP="005F4367">
      <w:pPr>
        <w:jc w:val="both"/>
        <w:rPr>
          <w:rFonts w:ascii="Arial" w:hAnsi="Arial" w:cs="Arial"/>
          <w:bCs/>
          <w:sz w:val="22"/>
          <w:szCs w:val="22"/>
        </w:rPr>
      </w:pPr>
    </w:p>
    <w:p w:rsidR="005F4367" w:rsidRPr="005F4367" w:rsidRDefault="005F4367" w:rsidP="005A533A">
      <w:pPr>
        <w:ind w:firstLine="709"/>
        <w:jc w:val="both"/>
        <w:rPr>
          <w:rFonts w:ascii="Arial" w:hAnsi="Arial" w:cs="Arial"/>
          <w:b/>
          <w:bCs/>
          <w:sz w:val="22"/>
          <w:szCs w:val="22"/>
        </w:rPr>
      </w:pPr>
      <w:r w:rsidRPr="005F4367">
        <w:rPr>
          <w:rFonts w:ascii="Arial" w:hAnsi="Arial" w:cs="Arial"/>
          <w:b/>
          <w:bCs/>
          <w:sz w:val="22"/>
          <w:szCs w:val="22"/>
        </w:rPr>
        <w:t>1% Non-Recurrent reserve</w:t>
      </w:r>
    </w:p>
    <w:p w:rsidR="005F4367" w:rsidRPr="005F4367" w:rsidRDefault="005F4367" w:rsidP="005F4367">
      <w:pPr>
        <w:jc w:val="both"/>
        <w:rPr>
          <w:rFonts w:ascii="Arial" w:hAnsi="Arial" w:cs="Arial"/>
          <w:bCs/>
          <w:sz w:val="22"/>
          <w:szCs w:val="22"/>
        </w:rPr>
      </w:pPr>
    </w:p>
    <w:p w:rsidR="005F4367" w:rsidRPr="005F4367" w:rsidRDefault="00E44E4F" w:rsidP="005F4367">
      <w:pPr>
        <w:ind w:left="709"/>
        <w:jc w:val="both"/>
        <w:rPr>
          <w:rFonts w:ascii="Arial" w:hAnsi="Arial" w:cs="Arial"/>
          <w:bCs/>
          <w:sz w:val="22"/>
          <w:szCs w:val="22"/>
        </w:rPr>
      </w:pPr>
      <w:r>
        <w:rPr>
          <w:rFonts w:ascii="Arial" w:hAnsi="Arial" w:cs="Arial"/>
          <w:bCs/>
          <w:sz w:val="22"/>
          <w:szCs w:val="22"/>
        </w:rPr>
        <w:t xml:space="preserve">As part of NHS England business rules for 2016/17 CCGs were required to set aside 1% </w:t>
      </w:r>
      <w:r w:rsidR="008668F2">
        <w:rPr>
          <w:rFonts w:ascii="Arial" w:hAnsi="Arial" w:cs="Arial"/>
          <w:bCs/>
          <w:sz w:val="22"/>
          <w:szCs w:val="22"/>
        </w:rPr>
        <w:t xml:space="preserve">(£2.432m) </w:t>
      </w:r>
      <w:r>
        <w:rPr>
          <w:rFonts w:ascii="Arial" w:hAnsi="Arial" w:cs="Arial"/>
          <w:bCs/>
          <w:sz w:val="22"/>
          <w:szCs w:val="22"/>
        </w:rPr>
        <w:t xml:space="preserve">uncommitted funds non-recurrently. </w:t>
      </w:r>
      <w:r w:rsidR="005F4367" w:rsidRPr="005F4367">
        <w:rPr>
          <w:rFonts w:ascii="Arial" w:hAnsi="Arial" w:cs="Arial"/>
          <w:bCs/>
          <w:sz w:val="22"/>
          <w:szCs w:val="22"/>
        </w:rPr>
        <w:t xml:space="preserve">The CCG is expecting </w:t>
      </w:r>
      <w:r>
        <w:rPr>
          <w:rFonts w:ascii="Arial" w:hAnsi="Arial" w:cs="Arial"/>
          <w:bCs/>
          <w:sz w:val="22"/>
          <w:szCs w:val="22"/>
        </w:rPr>
        <w:t xml:space="preserve">these funds to be </w:t>
      </w:r>
      <w:r w:rsidR="005F4367" w:rsidRPr="005F4367">
        <w:rPr>
          <w:rFonts w:ascii="Arial" w:hAnsi="Arial" w:cs="Arial"/>
          <w:bCs/>
          <w:sz w:val="22"/>
          <w:szCs w:val="22"/>
        </w:rPr>
        <w:t>release</w:t>
      </w:r>
      <w:r>
        <w:rPr>
          <w:rFonts w:ascii="Arial" w:hAnsi="Arial" w:cs="Arial"/>
          <w:bCs/>
          <w:sz w:val="22"/>
          <w:szCs w:val="22"/>
        </w:rPr>
        <w:t>d</w:t>
      </w:r>
      <w:r w:rsidR="005F4367" w:rsidRPr="005F4367">
        <w:rPr>
          <w:rFonts w:ascii="Arial" w:hAnsi="Arial" w:cs="Arial"/>
          <w:bCs/>
          <w:sz w:val="22"/>
          <w:szCs w:val="22"/>
        </w:rPr>
        <w:t xml:space="preserve"> </w:t>
      </w:r>
      <w:r>
        <w:rPr>
          <w:rFonts w:ascii="Arial" w:hAnsi="Arial" w:cs="Arial"/>
          <w:bCs/>
          <w:sz w:val="22"/>
          <w:szCs w:val="22"/>
        </w:rPr>
        <w:t xml:space="preserve">within the financial year.  </w:t>
      </w:r>
    </w:p>
    <w:p w:rsidR="00A64ACE" w:rsidRDefault="00A64ACE" w:rsidP="00877940">
      <w:pPr>
        <w:ind w:left="567" w:hanging="567"/>
        <w:jc w:val="both"/>
        <w:rPr>
          <w:rFonts w:ascii="Arial" w:hAnsi="Arial" w:cs="Arial"/>
          <w:sz w:val="22"/>
          <w:szCs w:val="22"/>
        </w:rPr>
      </w:pPr>
    </w:p>
    <w:p w:rsidR="00877940" w:rsidRPr="00680EF6" w:rsidRDefault="00E43AFE" w:rsidP="00877940">
      <w:pPr>
        <w:numPr>
          <w:ilvl w:val="0"/>
          <w:numId w:val="1"/>
        </w:numPr>
        <w:shd w:val="clear" w:color="auto" w:fill="D9D9D9"/>
        <w:ind w:left="567" w:hanging="567"/>
        <w:jc w:val="both"/>
        <w:rPr>
          <w:rFonts w:ascii="Arial" w:hAnsi="Arial" w:cs="Arial"/>
          <w:b/>
          <w:sz w:val="22"/>
          <w:szCs w:val="22"/>
        </w:rPr>
      </w:pPr>
      <w:r w:rsidRPr="00680EF6">
        <w:rPr>
          <w:rFonts w:ascii="Arial" w:hAnsi="Arial" w:cs="Arial"/>
          <w:b/>
          <w:sz w:val="22"/>
          <w:szCs w:val="22"/>
        </w:rPr>
        <w:t>Reserves budgets / Risk adjusted surplus</w:t>
      </w:r>
    </w:p>
    <w:p w:rsidR="00AB352C" w:rsidRDefault="00AB352C" w:rsidP="00A7796F">
      <w:pPr>
        <w:jc w:val="both"/>
        <w:rPr>
          <w:rFonts w:ascii="Arial" w:hAnsi="Arial" w:cs="Arial"/>
          <w:sz w:val="22"/>
          <w:szCs w:val="22"/>
        </w:rPr>
      </w:pPr>
    </w:p>
    <w:p w:rsidR="00F66DC8" w:rsidRDefault="000A2916" w:rsidP="00F66DC8">
      <w:pPr>
        <w:ind w:left="720"/>
        <w:jc w:val="both"/>
        <w:rPr>
          <w:rFonts w:ascii="Arial" w:hAnsi="Arial" w:cs="Arial"/>
          <w:bCs/>
          <w:sz w:val="22"/>
          <w:szCs w:val="22"/>
        </w:rPr>
      </w:pPr>
      <w:r w:rsidRPr="002F1951">
        <w:rPr>
          <w:rFonts w:ascii="Arial" w:hAnsi="Arial" w:cs="Arial"/>
          <w:bCs/>
          <w:sz w:val="22"/>
          <w:szCs w:val="22"/>
        </w:rPr>
        <w:t>Reserve</w:t>
      </w:r>
      <w:r>
        <w:rPr>
          <w:rFonts w:ascii="Arial" w:hAnsi="Arial" w:cs="Arial"/>
          <w:bCs/>
          <w:sz w:val="22"/>
          <w:szCs w:val="22"/>
        </w:rPr>
        <w:t xml:space="preserve"> budgets</w:t>
      </w:r>
      <w:r w:rsidRPr="002F1951">
        <w:rPr>
          <w:rFonts w:ascii="Arial" w:hAnsi="Arial" w:cs="Arial"/>
          <w:bCs/>
          <w:sz w:val="22"/>
          <w:szCs w:val="22"/>
        </w:rPr>
        <w:t xml:space="preserve"> are set aside as part of </w:t>
      </w:r>
      <w:r>
        <w:rPr>
          <w:rFonts w:ascii="Arial" w:hAnsi="Arial" w:cs="Arial"/>
          <w:bCs/>
          <w:sz w:val="22"/>
          <w:szCs w:val="22"/>
        </w:rPr>
        <w:t>the Budget S</w:t>
      </w:r>
      <w:r w:rsidRPr="002F1951">
        <w:rPr>
          <w:rFonts w:ascii="Arial" w:hAnsi="Arial" w:cs="Arial"/>
          <w:bCs/>
          <w:sz w:val="22"/>
          <w:szCs w:val="22"/>
        </w:rPr>
        <w:t xml:space="preserve">etting </w:t>
      </w:r>
      <w:r>
        <w:rPr>
          <w:rFonts w:ascii="Arial" w:hAnsi="Arial" w:cs="Arial"/>
          <w:bCs/>
          <w:sz w:val="22"/>
          <w:szCs w:val="22"/>
        </w:rPr>
        <w:t xml:space="preserve">exercise </w:t>
      </w:r>
      <w:r w:rsidRPr="002F1951">
        <w:rPr>
          <w:rFonts w:ascii="Arial" w:hAnsi="Arial" w:cs="Arial"/>
          <w:bCs/>
          <w:sz w:val="22"/>
          <w:szCs w:val="22"/>
        </w:rPr>
        <w:t>to reflect planned investments, known risks and an element for contingency.</w:t>
      </w:r>
      <w:r>
        <w:rPr>
          <w:rFonts w:ascii="Arial" w:hAnsi="Arial" w:cs="Arial"/>
          <w:bCs/>
          <w:sz w:val="22"/>
          <w:szCs w:val="22"/>
        </w:rPr>
        <w:t xml:space="preserve"> </w:t>
      </w:r>
      <w:r w:rsidR="00FA158D">
        <w:rPr>
          <w:rFonts w:ascii="Arial" w:hAnsi="Arial" w:cs="Arial"/>
          <w:bCs/>
          <w:sz w:val="22"/>
          <w:szCs w:val="22"/>
        </w:rPr>
        <w:t xml:space="preserve"> </w:t>
      </w:r>
      <w:r>
        <w:rPr>
          <w:rFonts w:ascii="Arial" w:hAnsi="Arial" w:cs="Arial"/>
          <w:bCs/>
          <w:sz w:val="22"/>
          <w:szCs w:val="22"/>
        </w:rPr>
        <w:t xml:space="preserve">Each month, the reserves and risks are analysed against the forecast financial performance and QIPP delivery. </w:t>
      </w:r>
    </w:p>
    <w:p w:rsidR="00F66DC8" w:rsidRDefault="00F66DC8" w:rsidP="00F66DC8">
      <w:pPr>
        <w:ind w:left="720"/>
        <w:jc w:val="both"/>
        <w:rPr>
          <w:rFonts w:ascii="Arial" w:hAnsi="Arial" w:cs="Arial"/>
          <w:bCs/>
          <w:sz w:val="22"/>
          <w:szCs w:val="22"/>
        </w:rPr>
      </w:pPr>
    </w:p>
    <w:p w:rsidR="00F66DC8" w:rsidRDefault="000A2916" w:rsidP="00F66DC8">
      <w:pPr>
        <w:ind w:left="720"/>
        <w:jc w:val="both"/>
        <w:rPr>
          <w:rFonts w:ascii="Arial" w:hAnsi="Arial" w:cs="Arial"/>
          <w:bCs/>
          <w:sz w:val="22"/>
          <w:szCs w:val="22"/>
        </w:rPr>
      </w:pPr>
      <w:r w:rsidRPr="00F66DC8">
        <w:rPr>
          <w:rFonts w:ascii="Arial" w:hAnsi="Arial" w:cs="Arial"/>
          <w:bCs/>
          <w:sz w:val="22"/>
          <w:szCs w:val="22"/>
        </w:rPr>
        <w:t xml:space="preserve">The assessment of the financial position is set out in </w:t>
      </w:r>
      <w:r w:rsidRPr="00F66DC8">
        <w:rPr>
          <w:rFonts w:ascii="Arial" w:hAnsi="Arial" w:cs="Arial"/>
          <w:b/>
          <w:bCs/>
          <w:sz w:val="22"/>
          <w:szCs w:val="22"/>
        </w:rPr>
        <w:t xml:space="preserve">Table </w:t>
      </w:r>
      <w:r w:rsidR="009F4833" w:rsidRPr="00F66DC8">
        <w:rPr>
          <w:rFonts w:ascii="Arial" w:hAnsi="Arial" w:cs="Arial"/>
          <w:b/>
          <w:bCs/>
          <w:sz w:val="22"/>
          <w:szCs w:val="22"/>
        </w:rPr>
        <w:t>E</w:t>
      </w:r>
      <w:r w:rsidRPr="00F66DC8">
        <w:rPr>
          <w:rFonts w:ascii="Arial" w:hAnsi="Arial" w:cs="Arial"/>
          <w:bCs/>
          <w:sz w:val="22"/>
          <w:szCs w:val="22"/>
        </w:rPr>
        <w:t xml:space="preserve"> </w:t>
      </w:r>
      <w:r w:rsidR="009716AE">
        <w:rPr>
          <w:rFonts w:ascii="Arial" w:hAnsi="Arial" w:cs="Arial"/>
          <w:bCs/>
          <w:sz w:val="22"/>
          <w:szCs w:val="22"/>
        </w:rPr>
        <w:t>below</w:t>
      </w:r>
      <w:r w:rsidRPr="00F66DC8">
        <w:rPr>
          <w:rFonts w:ascii="Arial" w:hAnsi="Arial" w:cs="Arial"/>
          <w:bCs/>
          <w:sz w:val="22"/>
          <w:szCs w:val="22"/>
        </w:rPr>
        <w:t xml:space="preserve">. </w:t>
      </w:r>
      <w:r w:rsidR="00FA158D" w:rsidRPr="00F66DC8">
        <w:rPr>
          <w:rFonts w:ascii="Arial" w:hAnsi="Arial" w:cs="Arial"/>
          <w:bCs/>
          <w:sz w:val="22"/>
          <w:szCs w:val="22"/>
        </w:rPr>
        <w:t xml:space="preserve"> </w:t>
      </w:r>
      <w:r w:rsidRPr="00F66DC8">
        <w:rPr>
          <w:rFonts w:ascii="Arial" w:hAnsi="Arial" w:cs="Arial"/>
          <w:bCs/>
          <w:sz w:val="22"/>
          <w:szCs w:val="22"/>
        </w:rPr>
        <w:t xml:space="preserve">This demonstrates that the CCG </w:t>
      </w:r>
      <w:r w:rsidR="00C62E55">
        <w:rPr>
          <w:rFonts w:ascii="Arial" w:hAnsi="Arial" w:cs="Arial"/>
          <w:bCs/>
          <w:sz w:val="22"/>
          <w:szCs w:val="22"/>
        </w:rPr>
        <w:t>plans to</w:t>
      </w:r>
      <w:r w:rsidRPr="00F66DC8">
        <w:rPr>
          <w:rFonts w:ascii="Arial" w:hAnsi="Arial" w:cs="Arial"/>
          <w:bCs/>
          <w:sz w:val="22"/>
          <w:szCs w:val="22"/>
        </w:rPr>
        <w:t xml:space="preserve"> deliver a total management action plan of </w:t>
      </w:r>
      <w:r w:rsidR="00045153" w:rsidRPr="00F66DC8">
        <w:rPr>
          <w:rFonts w:ascii="Arial" w:hAnsi="Arial" w:cs="Arial"/>
          <w:bCs/>
          <w:sz w:val="22"/>
          <w:szCs w:val="22"/>
        </w:rPr>
        <w:t>£</w:t>
      </w:r>
      <w:r w:rsidR="00C62E55">
        <w:rPr>
          <w:rFonts w:ascii="Arial" w:hAnsi="Arial" w:cs="Arial"/>
          <w:bCs/>
          <w:sz w:val="22"/>
          <w:szCs w:val="22"/>
        </w:rPr>
        <w:t>6.351</w:t>
      </w:r>
      <w:r w:rsidR="00F66DC8" w:rsidRPr="00F66DC8">
        <w:rPr>
          <w:rFonts w:ascii="Arial" w:hAnsi="Arial" w:cs="Arial"/>
          <w:bCs/>
          <w:sz w:val="22"/>
          <w:szCs w:val="22"/>
        </w:rPr>
        <w:t>m</w:t>
      </w:r>
      <w:r w:rsidRPr="00F66DC8">
        <w:rPr>
          <w:rFonts w:ascii="Arial" w:hAnsi="Arial" w:cs="Arial"/>
          <w:bCs/>
          <w:sz w:val="22"/>
          <w:szCs w:val="22"/>
        </w:rPr>
        <w:t xml:space="preserve"> </w:t>
      </w:r>
      <w:r w:rsidR="00F66DC8" w:rsidRPr="00F66DC8">
        <w:rPr>
          <w:rFonts w:ascii="Arial" w:hAnsi="Arial" w:cs="Arial"/>
          <w:bCs/>
          <w:sz w:val="22"/>
          <w:szCs w:val="22"/>
        </w:rPr>
        <w:t xml:space="preserve">in 2016/17 </w:t>
      </w:r>
      <w:r w:rsidR="00C62E55">
        <w:rPr>
          <w:rFonts w:ascii="Arial" w:hAnsi="Arial" w:cs="Arial"/>
          <w:bCs/>
          <w:sz w:val="22"/>
          <w:szCs w:val="22"/>
        </w:rPr>
        <w:t>which will result in a deficit</w:t>
      </w:r>
      <w:r w:rsidR="00F66DC8" w:rsidRPr="00F66DC8">
        <w:rPr>
          <w:rFonts w:ascii="Arial" w:hAnsi="Arial" w:cs="Arial"/>
          <w:bCs/>
          <w:sz w:val="22"/>
          <w:szCs w:val="22"/>
        </w:rPr>
        <w:t xml:space="preserve"> of £</w:t>
      </w:r>
      <w:r w:rsidR="00C62E55">
        <w:rPr>
          <w:rFonts w:ascii="Arial" w:hAnsi="Arial" w:cs="Arial"/>
          <w:bCs/>
          <w:sz w:val="22"/>
          <w:szCs w:val="22"/>
        </w:rPr>
        <w:t>2.332m</w:t>
      </w:r>
      <w:r w:rsidR="00F66DC8" w:rsidRPr="00F66DC8">
        <w:rPr>
          <w:rFonts w:ascii="Arial" w:hAnsi="Arial" w:cs="Arial"/>
          <w:bCs/>
          <w:sz w:val="22"/>
          <w:szCs w:val="22"/>
        </w:rPr>
        <w:t xml:space="preserve">. </w:t>
      </w:r>
    </w:p>
    <w:p w:rsidR="00F66DC8" w:rsidRDefault="00F66DC8" w:rsidP="00F66DC8">
      <w:pPr>
        <w:ind w:left="720"/>
        <w:jc w:val="both"/>
        <w:rPr>
          <w:rFonts w:ascii="Arial" w:hAnsi="Arial" w:cs="Arial"/>
          <w:bCs/>
          <w:sz w:val="22"/>
          <w:szCs w:val="22"/>
        </w:rPr>
      </w:pPr>
    </w:p>
    <w:p w:rsidR="00F66DC8" w:rsidRPr="00F66DC8" w:rsidRDefault="00F66DC8" w:rsidP="00F66DC8">
      <w:pPr>
        <w:ind w:left="720"/>
        <w:jc w:val="both"/>
        <w:rPr>
          <w:rFonts w:ascii="Arial" w:hAnsi="Arial" w:cs="Arial"/>
          <w:bCs/>
          <w:sz w:val="22"/>
          <w:szCs w:val="22"/>
        </w:rPr>
      </w:pPr>
      <w:r w:rsidRPr="00F66DC8">
        <w:rPr>
          <w:rFonts w:ascii="Arial" w:hAnsi="Arial" w:cs="Arial"/>
          <w:bCs/>
          <w:sz w:val="22"/>
          <w:szCs w:val="22"/>
        </w:rPr>
        <w:t xml:space="preserve">In order to deliver </w:t>
      </w:r>
      <w:r>
        <w:rPr>
          <w:rFonts w:ascii="Arial" w:hAnsi="Arial" w:cs="Arial"/>
          <w:bCs/>
          <w:sz w:val="22"/>
          <w:szCs w:val="22"/>
        </w:rPr>
        <w:t xml:space="preserve">the </w:t>
      </w:r>
      <w:r w:rsidR="00C62E55">
        <w:rPr>
          <w:rFonts w:ascii="Arial" w:hAnsi="Arial" w:cs="Arial"/>
          <w:bCs/>
          <w:sz w:val="22"/>
          <w:szCs w:val="22"/>
        </w:rPr>
        <w:t>CCG statutory duty to break even</w:t>
      </w:r>
      <w:r w:rsidRPr="00F66DC8">
        <w:rPr>
          <w:rFonts w:ascii="Arial" w:hAnsi="Arial" w:cs="Arial"/>
          <w:bCs/>
          <w:sz w:val="22"/>
          <w:szCs w:val="22"/>
        </w:rPr>
        <w:t>, the CCG is reliant on return of the 1% non-recurrent reserve, which remains uncommitted as directed by NHS England.</w:t>
      </w:r>
      <w:r w:rsidR="00E44E4F">
        <w:rPr>
          <w:rFonts w:ascii="Arial" w:hAnsi="Arial" w:cs="Arial"/>
          <w:bCs/>
          <w:sz w:val="22"/>
          <w:szCs w:val="22"/>
        </w:rPr>
        <w:t xml:space="preserve"> It is anticipated that this funding will be released to the CCG late in the financial year and is expected to improve the CCG’s financial position from £2.332m deficit to £0.100m surplus.</w:t>
      </w:r>
    </w:p>
    <w:p w:rsidR="000A2916" w:rsidRDefault="000A2916" w:rsidP="00F66DC8">
      <w:pPr>
        <w:ind w:left="720"/>
        <w:jc w:val="both"/>
        <w:rPr>
          <w:rFonts w:ascii="Arial" w:hAnsi="Arial" w:cs="Arial"/>
          <w:bCs/>
          <w:sz w:val="22"/>
          <w:szCs w:val="22"/>
        </w:rPr>
      </w:pPr>
    </w:p>
    <w:p w:rsidR="00B2107A" w:rsidRPr="00D15C61" w:rsidRDefault="00FF51E3" w:rsidP="00D15C61">
      <w:pPr>
        <w:ind w:left="720"/>
        <w:jc w:val="both"/>
        <w:rPr>
          <w:rFonts w:ascii="Arial" w:hAnsi="Arial" w:cs="Arial"/>
          <w:bCs/>
          <w:sz w:val="22"/>
          <w:szCs w:val="22"/>
        </w:rPr>
      </w:pPr>
      <w:r>
        <w:rPr>
          <w:rFonts w:ascii="Arial" w:hAnsi="Arial" w:cs="Arial"/>
          <w:bCs/>
          <w:sz w:val="22"/>
          <w:szCs w:val="22"/>
        </w:rPr>
        <w:t>D</w:t>
      </w:r>
      <w:r w:rsidR="000A2916">
        <w:rPr>
          <w:rFonts w:ascii="Arial" w:hAnsi="Arial" w:cs="Arial"/>
          <w:bCs/>
          <w:sz w:val="22"/>
          <w:szCs w:val="22"/>
        </w:rPr>
        <w:t xml:space="preserve">elivery of the </w:t>
      </w:r>
      <w:r w:rsidR="00C62E55">
        <w:rPr>
          <w:rFonts w:ascii="Arial" w:hAnsi="Arial" w:cs="Arial"/>
          <w:bCs/>
          <w:sz w:val="22"/>
          <w:szCs w:val="22"/>
        </w:rPr>
        <w:t xml:space="preserve">remaining </w:t>
      </w:r>
      <w:r w:rsidR="000A2916">
        <w:rPr>
          <w:rFonts w:ascii="Arial" w:hAnsi="Arial" w:cs="Arial"/>
          <w:bCs/>
          <w:sz w:val="22"/>
          <w:szCs w:val="22"/>
        </w:rPr>
        <w:t xml:space="preserve">QIPP plan is challenging and requires co-operation with partners across the healthcare economy. </w:t>
      </w:r>
      <w:r w:rsidR="00FA158D">
        <w:rPr>
          <w:rFonts w:ascii="Arial" w:hAnsi="Arial" w:cs="Arial"/>
          <w:bCs/>
          <w:sz w:val="22"/>
          <w:szCs w:val="22"/>
        </w:rPr>
        <w:t xml:space="preserve"> </w:t>
      </w:r>
      <w:r w:rsidR="000A2916">
        <w:rPr>
          <w:rFonts w:ascii="Arial" w:hAnsi="Arial" w:cs="Arial"/>
          <w:bCs/>
          <w:sz w:val="22"/>
          <w:szCs w:val="22"/>
        </w:rPr>
        <w:t>The CCG has allocated GP Governing Body member leads to each QIPP programme along with executive leads, and the leads meet on a monthly basis to report progress against their ow</w:t>
      </w:r>
      <w:r w:rsidR="00D15C61">
        <w:rPr>
          <w:rFonts w:ascii="Arial" w:hAnsi="Arial" w:cs="Arial"/>
          <w:bCs/>
          <w:sz w:val="22"/>
          <w:szCs w:val="22"/>
        </w:rPr>
        <w:t>n programme to the Senior Team.</w:t>
      </w:r>
    </w:p>
    <w:p w:rsidR="001E35E4" w:rsidRDefault="001E35E4">
      <w:pPr>
        <w:rPr>
          <w:rFonts w:ascii="Arial" w:hAnsi="Arial" w:cs="Arial"/>
          <w:b/>
          <w:bCs/>
          <w:sz w:val="22"/>
          <w:szCs w:val="22"/>
        </w:rPr>
      </w:pPr>
    </w:p>
    <w:p w:rsidR="00E44E4F" w:rsidRDefault="00E44E4F" w:rsidP="009716AE">
      <w:pPr>
        <w:ind w:firstLine="567"/>
        <w:rPr>
          <w:rFonts w:ascii="Arial" w:hAnsi="Arial" w:cs="Arial"/>
          <w:b/>
          <w:bCs/>
          <w:sz w:val="22"/>
          <w:szCs w:val="22"/>
        </w:rPr>
      </w:pPr>
    </w:p>
    <w:p w:rsidR="00E44E4F" w:rsidRDefault="00E44E4F" w:rsidP="009716AE">
      <w:pPr>
        <w:ind w:firstLine="567"/>
        <w:rPr>
          <w:rFonts w:ascii="Arial" w:hAnsi="Arial" w:cs="Arial"/>
          <w:b/>
          <w:bCs/>
          <w:sz w:val="22"/>
          <w:szCs w:val="22"/>
        </w:rPr>
      </w:pPr>
    </w:p>
    <w:p w:rsidR="005A533A" w:rsidRDefault="005A533A" w:rsidP="009716AE">
      <w:pPr>
        <w:ind w:firstLine="567"/>
        <w:rPr>
          <w:rFonts w:ascii="Arial" w:hAnsi="Arial" w:cs="Arial"/>
          <w:b/>
          <w:bCs/>
          <w:sz w:val="22"/>
          <w:szCs w:val="22"/>
        </w:rPr>
      </w:pPr>
    </w:p>
    <w:p w:rsidR="00E93A7F" w:rsidRDefault="009F4833" w:rsidP="005A533A">
      <w:pPr>
        <w:ind w:firstLine="567"/>
        <w:rPr>
          <w:rFonts w:ascii="Arial" w:hAnsi="Arial" w:cs="Arial"/>
          <w:b/>
          <w:bCs/>
          <w:sz w:val="22"/>
          <w:szCs w:val="22"/>
        </w:rPr>
      </w:pPr>
      <w:r>
        <w:rPr>
          <w:rFonts w:ascii="Arial" w:hAnsi="Arial" w:cs="Arial"/>
          <w:b/>
          <w:bCs/>
          <w:sz w:val="22"/>
          <w:szCs w:val="22"/>
        </w:rPr>
        <w:lastRenderedPageBreak/>
        <w:t>T</w:t>
      </w:r>
      <w:r w:rsidR="00D6234C">
        <w:rPr>
          <w:rFonts w:ascii="Arial" w:hAnsi="Arial" w:cs="Arial"/>
          <w:b/>
          <w:bCs/>
          <w:sz w:val="22"/>
          <w:szCs w:val="22"/>
        </w:rPr>
        <w:tab/>
      </w:r>
      <w:r>
        <w:rPr>
          <w:rFonts w:ascii="Arial" w:hAnsi="Arial" w:cs="Arial"/>
          <w:b/>
          <w:bCs/>
          <w:sz w:val="22"/>
          <w:szCs w:val="22"/>
        </w:rPr>
        <w:t xml:space="preserve">able </w:t>
      </w:r>
      <w:r w:rsidR="00540FC1">
        <w:rPr>
          <w:rFonts w:ascii="Arial" w:hAnsi="Arial" w:cs="Arial"/>
          <w:b/>
          <w:bCs/>
          <w:sz w:val="22"/>
          <w:szCs w:val="22"/>
        </w:rPr>
        <w:t>E</w:t>
      </w:r>
      <w:r w:rsidR="000A2916" w:rsidRPr="008D1DFE">
        <w:rPr>
          <w:rFonts w:ascii="Arial" w:hAnsi="Arial" w:cs="Arial"/>
          <w:b/>
          <w:bCs/>
          <w:sz w:val="22"/>
          <w:szCs w:val="22"/>
        </w:rPr>
        <w:t xml:space="preserve"> – </w:t>
      </w:r>
      <w:r w:rsidR="009716AE">
        <w:rPr>
          <w:rFonts w:ascii="Arial" w:hAnsi="Arial" w:cs="Arial"/>
          <w:b/>
          <w:bCs/>
          <w:sz w:val="22"/>
          <w:szCs w:val="22"/>
        </w:rPr>
        <w:t>Forecast Outturn</w:t>
      </w:r>
      <w:r w:rsidR="000A2916" w:rsidRPr="008D1DFE">
        <w:rPr>
          <w:rFonts w:ascii="Arial" w:hAnsi="Arial" w:cs="Arial"/>
          <w:b/>
          <w:bCs/>
          <w:sz w:val="22"/>
          <w:szCs w:val="22"/>
        </w:rPr>
        <w:t xml:space="preserve"> Position</w:t>
      </w:r>
    </w:p>
    <w:p w:rsidR="00AB352C" w:rsidRDefault="00C62E55" w:rsidP="00E93A7F">
      <w:pPr>
        <w:ind w:firstLine="567"/>
        <w:rPr>
          <w:rFonts w:ascii="Arial" w:hAnsi="Arial" w:cs="Arial"/>
          <w:b/>
          <w:bCs/>
          <w:sz w:val="22"/>
          <w:szCs w:val="22"/>
        </w:rPr>
      </w:pPr>
      <w:r>
        <w:rPr>
          <w:rFonts w:ascii="Arial" w:hAnsi="Arial" w:cs="Arial"/>
          <w:b/>
          <w:bCs/>
          <w:noProof/>
          <w:sz w:val="22"/>
          <w:szCs w:val="22"/>
        </w:rPr>
        <w:drawing>
          <wp:inline distT="0" distB="0" distL="0" distR="0" wp14:anchorId="706D4E48">
            <wp:extent cx="4924425" cy="3005733"/>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9756" cy="3008987"/>
                    </a:xfrm>
                    <a:prstGeom prst="rect">
                      <a:avLst/>
                    </a:prstGeom>
                    <a:noFill/>
                  </pic:spPr>
                </pic:pic>
              </a:graphicData>
            </a:graphic>
          </wp:inline>
        </w:drawing>
      </w:r>
    </w:p>
    <w:p w:rsidR="00AB352C" w:rsidRDefault="00AB352C" w:rsidP="0004133A">
      <w:pPr>
        <w:ind w:left="720"/>
        <w:jc w:val="both"/>
        <w:rPr>
          <w:rFonts w:ascii="Arial" w:hAnsi="Arial" w:cs="Arial"/>
          <w:b/>
          <w:bCs/>
          <w:sz w:val="22"/>
          <w:szCs w:val="22"/>
        </w:rPr>
      </w:pPr>
    </w:p>
    <w:p w:rsidR="0004133A" w:rsidRDefault="0004133A" w:rsidP="0004133A">
      <w:pPr>
        <w:ind w:left="720"/>
        <w:jc w:val="both"/>
        <w:rPr>
          <w:rFonts w:ascii="Arial" w:hAnsi="Arial" w:cs="Arial"/>
          <w:bCs/>
          <w:sz w:val="22"/>
          <w:szCs w:val="22"/>
        </w:rPr>
      </w:pPr>
      <w:r>
        <w:rPr>
          <w:rFonts w:ascii="Arial" w:hAnsi="Arial" w:cs="Arial"/>
          <w:b/>
          <w:bCs/>
          <w:sz w:val="22"/>
          <w:szCs w:val="22"/>
        </w:rPr>
        <w:t xml:space="preserve">Table F </w:t>
      </w:r>
      <w:r w:rsidR="009716AE">
        <w:rPr>
          <w:rFonts w:ascii="Arial" w:hAnsi="Arial" w:cs="Arial"/>
          <w:bCs/>
          <w:sz w:val="22"/>
          <w:szCs w:val="22"/>
        </w:rPr>
        <w:t>below</w:t>
      </w:r>
      <w:r>
        <w:rPr>
          <w:rFonts w:ascii="Arial" w:hAnsi="Arial" w:cs="Arial"/>
          <w:bCs/>
          <w:sz w:val="22"/>
          <w:szCs w:val="22"/>
        </w:rPr>
        <w:t xml:space="preserve"> o</w:t>
      </w:r>
      <w:r w:rsidRPr="00C72AA2">
        <w:rPr>
          <w:rFonts w:ascii="Arial" w:hAnsi="Arial" w:cs="Arial"/>
          <w:bCs/>
          <w:sz w:val="22"/>
          <w:szCs w:val="22"/>
        </w:rPr>
        <w:t xml:space="preserve">utlines the </w:t>
      </w:r>
      <w:r>
        <w:rPr>
          <w:rFonts w:ascii="Arial" w:hAnsi="Arial" w:cs="Arial"/>
          <w:bCs/>
          <w:sz w:val="22"/>
          <w:szCs w:val="22"/>
        </w:rPr>
        <w:t>best, m</w:t>
      </w:r>
      <w:r w:rsidRPr="00C72AA2">
        <w:rPr>
          <w:rFonts w:ascii="Arial" w:hAnsi="Arial" w:cs="Arial"/>
          <w:bCs/>
          <w:sz w:val="22"/>
          <w:szCs w:val="22"/>
        </w:rPr>
        <w:t xml:space="preserve">ost </w:t>
      </w:r>
      <w:r>
        <w:rPr>
          <w:rFonts w:ascii="Arial" w:hAnsi="Arial" w:cs="Arial"/>
          <w:bCs/>
          <w:sz w:val="22"/>
          <w:szCs w:val="22"/>
        </w:rPr>
        <w:t>l</w:t>
      </w:r>
      <w:r w:rsidRPr="00C72AA2">
        <w:rPr>
          <w:rFonts w:ascii="Arial" w:hAnsi="Arial" w:cs="Arial"/>
          <w:bCs/>
          <w:sz w:val="22"/>
          <w:szCs w:val="22"/>
        </w:rPr>
        <w:t xml:space="preserve">ikely and </w:t>
      </w:r>
      <w:r>
        <w:rPr>
          <w:rFonts w:ascii="Arial" w:hAnsi="Arial" w:cs="Arial"/>
          <w:bCs/>
          <w:sz w:val="22"/>
          <w:szCs w:val="22"/>
        </w:rPr>
        <w:t xml:space="preserve">worst case scenarios.  The best case scenario assumes achievement of the remaining risk adjusted QIPP plan plus </w:t>
      </w:r>
      <w:r w:rsidR="00C62E55">
        <w:rPr>
          <w:rFonts w:ascii="Arial" w:hAnsi="Arial" w:cs="Arial"/>
          <w:bCs/>
          <w:sz w:val="22"/>
          <w:szCs w:val="22"/>
        </w:rPr>
        <w:t>further delivery</w:t>
      </w:r>
      <w:r w:rsidR="008D379C">
        <w:rPr>
          <w:rFonts w:ascii="Arial" w:hAnsi="Arial" w:cs="Arial"/>
          <w:bCs/>
          <w:sz w:val="22"/>
          <w:szCs w:val="22"/>
        </w:rPr>
        <w:t xml:space="preserve"> of £0.200m</w:t>
      </w:r>
      <w:r w:rsidR="00C62E55">
        <w:rPr>
          <w:rFonts w:ascii="Arial" w:hAnsi="Arial" w:cs="Arial"/>
          <w:bCs/>
          <w:sz w:val="22"/>
          <w:szCs w:val="22"/>
        </w:rPr>
        <w:t>.</w:t>
      </w:r>
    </w:p>
    <w:p w:rsidR="0004133A" w:rsidRDefault="0004133A" w:rsidP="0004133A">
      <w:pPr>
        <w:ind w:left="720"/>
        <w:jc w:val="both"/>
        <w:rPr>
          <w:rFonts w:ascii="Arial" w:hAnsi="Arial" w:cs="Arial"/>
          <w:bCs/>
          <w:sz w:val="22"/>
          <w:szCs w:val="22"/>
        </w:rPr>
      </w:pPr>
    </w:p>
    <w:p w:rsidR="009716AE" w:rsidRDefault="009716AE" w:rsidP="009716AE">
      <w:pPr>
        <w:ind w:left="720"/>
        <w:jc w:val="both"/>
        <w:rPr>
          <w:rFonts w:ascii="Arial" w:hAnsi="Arial" w:cs="Arial"/>
          <w:bCs/>
          <w:sz w:val="22"/>
          <w:szCs w:val="22"/>
        </w:rPr>
      </w:pPr>
      <w:r>
        <w:rPr>
          <w:rFonts w:ascii="Arial" w:hAnsi="Arial" w:cs="Arial"/>
          <w:bCs/>
          <w:sz w:val="22"/>
          <w:szCs w:val="22"/>
        </w:rPr>
        <w:t xml:space="preserve">The most likely case is a deficit of </w:t>
      </w:r>
      <w:r w:rsidR="001E35E4">
        <w:rPr>
          <w:rFonts w:ascii="Arial" w:hAnsi="Arial" w:cs="Arial"/>
          <w:bCs/>
          <w:sz w:val="22"/>
          <w:szCs w:val="22"/>
        </w:rPr>
        <w:t>£</w:t>
      </w:r>
      <w:r w:rsidR="00D6234C">
        <w:rPr>
          <w:rFonts w:ascii="Arial" w:hAnsi="Arial" w:cs="Arial"/>
          <w:bCs/>
          <w:sz w:val="22"/>
          <w:szCs w:val="22"/>
        </w:rPr>
        <w:t>2</w:t>
      </w:r>
      <w:r w:rsidR="001E35E4">
        <w:rPr>
          <w:rFonts w:ascii="Arial" w:hAnsi="Arial" w:cs="Arial"/>
          <w:bCs/>
          <w:sz w:val="22"/>
          <w:szCs w:val="22"/>
        </w:rPr>
        <w:t>.</w:t>
      </w:r>
      <w:r w:rsidR="00C62E55">
        <w:rPr>
          <w:rFonts w:ascii="Arial" w:hAnsi="Arial" w:cs="Arial"/>
          <w:bCs/>
          <w:sz w:val="22"/>
          <w:szCs w:val="22"/>
        </w:rPr>
        <w:t>332</w:t>
      </w:r>
      <w:r w:rsidR="00D6234C">
        <w:rPr>
          <w:rFonts w:ascii="Arial" w:hAnsi="Arial" w:cs="Arial"/>
          <w:bCs/>
          <w:sz w:val="22"/>
          <w:szCs w:val="22"/>
        </w:rPr>
        <w:t>m which assumes delivery of the remaining risk adjusted QIPP plan</w:t>
      </w:r>
      <w:r w:rsidR="001E35E4">
        <w:rPr>
          <w:rFonts w:ascii="Arial" w:hAnsi="Arial" w:cs="Arial"/>
          <w:bCs/>
          <w:sz w:val="22"/>
          <w:szCs w:val="22"/>
        </w:rPr>
        <w:t>.</w:t>
      </w:r>
    </w:p>
    <w:p w:rsidR="009716AE" w:rsidRDefault="009716AE" w:rsidP="009716AE">
      <w:pPr>
        <w:ind w:left="720"/>
        <w:jc w:val="both"/>
        <w:rPr>
          <w:rFonts w:ascii="Arial" w:hAnsi="Arial" w:cs="Arial"/>
          <w:bCs/>
          <w:sz w:val="22"/>
          <w:szCs w:val="22"/>
        </w:rPr>
      </w:pPr>
    </w:p>
    <w:p w:rsidR="009716AE" w:rsidRPr="00AB352C" w:rsidRDefault="009716AE" w:rsidP="00AB352C">
      <w:pPr>
        <w:ind w:left="720"/>
        <w:jc w:val="both"/>
        <w:rPr>
          <w:rFonts w:ascii="Arial" w:hAnsi="Arial" w:cs="Arial"/>
          <w:bCs/>
          <w:sz w:val="22"/>
          <w:szCs w:val="22"/>
        </w:rPr>
      </w:pPr>
      <w:r>
        <w:rPr>
          <w:rFonts w:ascii="Arial" w:hAnsi="Arial" w:cs="Arial"/>
          <w:bCs/>
          <w:sz w:val="22"/>
          <w:szCs w:val="22"/>
        </w:rPr>
        <w:t xml:space="preserve">The worst case </w:t>
      </w:r>
      <w:r w:rsidR="00B17CE2">
        <w:rPr>
          <w:rFonts w:ascii="Arial" w:hAnsi="Arial" w:cs="Arial"/>
          <w:bCs/>
          <w:sz w:val="22"/>
          <w:szCs w:val="22"/>
        </w:rPr>
        <w:t xml:space="preserve">scenario </w:t>
      </w:r>
      <w:r>
        <w:rPr>
          <w:rFonts w:ascii="Arial" w:hAnsi="Arial" w:cs="Arial"/>
          <w:bCs/>
          <w:sz w:val="22"/>
          <w:szCs w:val="22"/>
        </w:rPr>
        <w:t xml:space="preserve">assumes </w:t>
      </w:r>
      <w:r w:rsidR="00B17CE2">
        <w:rPr>
          <w:rFonts w:ascii="Arial" w:hAnsi="Arial" w:cs="Arial"/>
          <w:bCs/>
          <w:sz w:val="22"/>
          <w:szCs w:val="22"/>
        </w:rPr>
        <w:t>achievement of the remaining risk adjusted QIPP plan and</w:t>
      </w:r>
      <w:r>
        <w:rPr>
          <w:rFonts w:ascii="Arial" w:hAnsi="Arial" w:cs="Arial"/>
          <w:bCs/>
          <w:sz w:val="22"/>
          <w:szCs w:val="22"/>
        </w:rPr>
        <w:t xml:space="preserve"> increased risk in respect of Acute Care.</w:t>
      </w:r>
    </w:p>
    <w:p w:rsidR="00994366" w:rsidRDefault="00994366" w:rsidP="00011379">
      <w:pPr>
        <w:ind w:left="720"/>
        <w:rPr>
          <w:rFonts w:ascii="Arial" w:hAnsi="Arial" w:cs="Arial"/>
          <w:b/>
          <w:bCs/>
          <w:sz w:val="22"/>
          <w:szCs w:val="22"/>
        </w:rPr>
      </w:pPr>
    </w:p>
    <w:p w:rsidR="00C62E55" w:rsidRDefault="009F4833" w:rsidP="008D379C">
      <w:pPr>
        <w:ind w:left="720"/>
        <w:rPr>
          <w:rFonts w:ascii="Arial" w:hAnsi="Arial" w:cs="Arial"/>
          <w:b/>
          <w:bCs/>
          <w:sz w:val="22"/>
          <w:szCs w:val="22"/>
        </w:rPr>
      </w:pPr>
      <w:r>
        <w:rPr>
          <w:rFonts w:ascii="Arial" w:hAnsi="Arial" w:cs="Arial"/>
          <w:b/>
          <w:bCs/>
          <w:sz w:val="22"/>
          <w:szCs w:val="22"/>
        </w:rPr>
        <w:t>Table F</w:t>
      </w:r>
      <w:r w:rsidR="000A2916" w:rsidRPr="003331DD">
        <w:rPr>
          <w:rFonts w:ascii="Arial" w:hAnsi="Arial" w:cs="Arial"/>
          <w:b/>
          <w:bCs/>
          <w:sz w:val="22"/>
          <w:szCs w:val="22"/>
        </w:rPr>
        <w:t xml:space="preserve"> – Risk Rated Financial Position</w:t>
      </w:r>
    </w:p>
    <w:p w:rsidR="0097454B" w:rsidRDefault="00373A1D" w:rsidP="00C62E55">
      <w:pPr>
        <w:ind w:left="720"/>
        <w:rPr>
          <w:rFonts w:ascii="Arial" w:hAnsi="Arial" w:cs="Arial"/>
          <w:b/>
          <w:bCs/>
          <w:sz w:val="22"/>
          <w:szCs w:val="22"/>
        </w:rPr>
      </w:pPr>
      <w:r w:rsidRPr="00373A1D">
        <w:rPr>
          <w:noProof/>
        </w:rPr>
        <w:drawing>
          <wp:inline distT="0" distB="0" distL="0" distR="0">
            <wp:extent cx="4819650" cy="3362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36095" cy="3373798"/>
                    </a:xfrm>
                    <a:prstGeom prst="rect">
                      <a:avLst/>
                    </a:prstGeom>
                    <a:noFill/>
                    <a:ln>
                      <a:noFill/>
                    </a:ln>
                  </pic:spPr>
                </pic:pic>
              </a:graphicData>
            </a:graphic>
          </wp:inline>
        </w:drawing>
      </w:r>
    </w:p>
    <w:p w:rsidR="009716AE" w:rsidRDefault="009716AE" w:rsidP="00D15C61">
      <w:pPr>
        <w:ind w:left="567"/>
        <w:rPr>
          <w:rFonts w:ascii="Arial" w:hAnsi="Arial" w:cs="Arial"/>
          <w:b/>
          <w:bCs/>
          <w:sz w:val="22"/>
          <w:szCs w:val="22"/>
        </w:rPr>
      </w:pPr>
    </w:p>
    <w:p w:rsidR="00CB32A2" w:rsidRPr="001C6619" w:rsidRDefault="00CB32A2" w:rsidP="00D15C61">
      <w:pPr>
        <w:ind w:left="567"/>
        <w:rPr>
          <w:rFonts w:ascii="Arial" w:hAnsi="Arial" w:cs="Arial"/>
          <w:b/>
          <w:bCs/>
          <w:sz w:val="22"/>
          <w:szCs w:val="22"/>
        </w:rPr>
      </w:pPr>
    </w:p>
    <w:p w:rsidR="00E43AFE" w:rsidRPr="00D6234C" w:rsidRDefault="00E43AFE" w:rsidP="00E43AFE">
      <w:pPr>
        <w:numPr>
          <w:ilvl w:val="0"/>
          <w:numId w:val="1"/>
        </w:numPr>
        <w:shd w:val="clear" w:color="auto" w:fill="D9D9D9"/>
        <w:ind w:left="567" w:hanging="567"/>
        <w:jc w:val="both"/>
        <w:rPr>
          <w:rFonts w:ascii="Arial" w:hAnsi="Arial" w:cs="Arial"/>
          <w:b/>
          <w:sz w:val="22"/>
          <w:szCs w:val="22"/>
        </w:rPr>
      </w:pPr>
      <w:r w:rsidRPr="00D6234C">
        <w:rPr>
          <w:rFonts w:ascii="Arial" w:hAnsi="Arial" w:cs="Arial"/>
          <w:b/>
          <w:sz w:val="22"/>
          <w:szCs w:val="22"/>
        </w:rPr>
        <w:t xml:space="preserve">Recommendations </w:t>
      </w:r>
    </w:p>
    <w:p w:rsidR="00E43AFE" w:rsidRDefault="00E43AFE" w:rsidP="00877940">
      <w:pPr>
        <w:ind w:left="567" w:hanging="567"/>
        <w:jc w:val="both"/>
        <w:rPr>
          <w:rFonts w:ascii="Arial" w:hAnsi="Arial" w:cs="Arial"/>
          <w:sz w:val="22"/>
          <w:szCs w:val="22"/>
        </w:rPr>
      </w:pPr>
    </w:p>
    <w:p w:rsidR="000A2916" w:rsidRPr="00924307" w:rsidRDefault="000A2916" w:rsidP="000A2916">
      <w:pPr>
        <w:ind w:left="720"/>
        <w:jc w:val="both"/>
        <w:rPr>
          <w:rFonts w:ascii="Arial" w:hAnsi="Arial" w:cs="Arial"/>
          <w:bCs/>
          <w:sz w:val="22"/>
          <w:szCs w:val="22"/>
        </w:rPr>
      </w:pPr>
      <w:r>
        <w:rPr>
          <w:rFonts w:ascii="Arial" w:hAnsi="Arial" w:cs="Arial"/>
          <w:bCs/>
          <w:sz w:val="22"/>
          <w:szCs w:val="22"/>
        </w:rPr>
        <w:t xml:space="preserve">The </w:t>
      </w:r>
      <w:r w:rsidR="00BF26E4">
        <w:rPr>
          <w:rFonts w:ascii="Arial" w:hAnsi="Arial" w:cs="Arial"/>
          <w:bCs/>
          <w:sz w:val="22"/>
          <w:szCs w:val="22"/>
        </w:rPr>
        <w:t>Finance and Resource Committee</w:t>
      </w:r>
      <w:r>
        <w:rPr>
          <w:rFonts w:ascii="Arial" w:hAnsi="Arial" w:cs="Arial"/>
          <w:bCs/>
          <w:sz w:val="22"/>
          <w:szCs w:val="22"/>
        </w:rPr>
        <w:t xml:space="preserve"> is asked to receive</w:t>
      </w:r>
      <w:r w:rsidRPr="00261D4C">
        <w:rPr>
          <w:rFonts w:ascii="Arial" w:hAnsi="Arial" w:cs="Arial"/>
          <w:bCs/>
          <w:sz w:val="22"/>
          <w:szCs w:val="22"/>
        </w:rPr>
        <w:t xml:space="preserve"> the fi</w:t>
      </w:r>
      <w:r>
        <w:rPr>
          <w:rFonts w:ascii="Arial" w:hAnsi="Arial" w:cs="Arial"/>
          <w:bCs/>
          <w:sz w:val="22"/>
          <w:szCs w:val="22"/>
        </w:rPr>
        <w:t>nance update, noting that</w:t>
      </w:r>
      <w:r w:rsidR="00BF26E4">
        <w:rPr>
          <w:rFonts w:ascii="Arial" w:hAnsi="Arial" w:cs="Arial"/>
          <w:bCs/>
          <w:sz w:val="22"/>
          <w:szCs w:val="22"/>
        </w:rPr>
        <w:t>:</w:t>
      </w:r>
    </w:p>
    <w:p w:rsidR="000A2916" w:rsidRPr="002158DD" w:rsidRDefault="000A2916" w:rsidP="000A2916">
      <w:pPr>
        <w:ind w:left="567"/>
        <w:rPr>
          <w:rFonts w:ascii="Arial" w:hAnsi="Arial" w:cs="Arial"/>
          <w:sz w:val="22"/>
          <w:szCs w:val="22"/>
        </w:rPr>
      </w:pPr>
    </w:p>
    <w:p w:rsidR="00B17CE2" w:rsidRPr="00E05F1E" w:rsidRDefault="00E44E4F" w:rsidP="00E44E4F">
      <w:pPr>
        <w:pStyle w:val="ListParagraph"/>
        <w:numPr>
          <w:ilvl w:val="0"/>
          <w:numId w:val="13"/>
        </w:numPr>
        <w:ind w:left="1134" w:hanging="283"/>
        <w:jc w:val="both"/>
        <w:rPr>
          <w:rFonts w:ascii="Arial" w:hAnsi="Arial" w:cs="Arial"/>
          <w:sz w:val="22"/>
          <w:szCs w:val="22"/>
        </w:rPr>
      </w:pPr>
      <w:r>
        <w:rPr>
          <w:rFonts w:ascii="Arial" w:hAnsi="Arial" w:cs="Arial"/>
          <w:sz w:val="22"/>
          <w:szCs w:val="22"/>
        </w:rPr>
        <w:t xml:space="preserve">The CCG agreed a revised surplus target of £1.250m with NHS England at month 6.  Financial pressures have continued to emerge </w:t>
      </w:r>
      <w:r w:rsidR="008668F2">
        <w:rPr>
          <w:rFonts w:ascii="Arial" w:hAnsi="Arial" w:cs="Arial"/>
          <w:sz w:val="22"/>
          <w:szCs w:val="22"/>
        </w:rPr>
        <w:t xml:space="preserve">in year </w:t>
      </w:r>
      <w:r>
        <w:rPr>
          <w:rFonts w:ascii="Arial" w:hAnsi="Arial" w:cs="Arial"/>
          <w:sz w:val="22"/>
          <w:szCs w:val="22"/>
        </w:rPr>
        <w:t xml:space="preserve">and </w:t>
      </w:r>
      <w:r w:rsidR="00B17CE2" w:rsidRPr="00E05F1E">
        <w:rPr>
          <w:rFonts w:ascii="Arial" w:hAnsi="Arial" w:cs="Arial"/>
          <w:sz w:val="22"/>
          <w:szCs w:val="22"/>
        </w:rPr>
        <w:t xml:space="preserve">the revised surplus target for the CCG is </w:t>
      </w:r>
      <w:r w:rsidR="00B17CE2" w:rsidRPr="00E05F1E">
        <w:rPr>
          <w:rFonts w:ascii="Arial" w:hAnsi="Arial" w:cs="Arial"/>
          <w:bCs/>
          <w:sz w:val="22"/>
          <w:szCs w:val="22"/>
        </w:rPr>
        <w:t>£1.250m.</w:t>
      </w:r>
    </w:p>
    <w:p w:rsidR="00B17CE2" w:rsidRPr="00E05F1E" w:rsidRDefault="00B17CE2" w:rsidP="00E44E4F">
      <w:pPr>
        <w:pStyle w:val="ListParagraph"/>
        <w:ind w:left="1134" w:hanging="283"/>
        <w:jc w:val="both"/>
        <w:rPr>
          <w:rFonts w:ascii="Arial" w:hAnsi="Arial" w:cs="Arial"/>
          <w:sz w:val="22"/>
          <w:szCs w:val="22"/>
        </w:rPr>
      </w:pPr>
    </w:p>
    <w:p w:rsidR="00B17CE2" w:rsidRPr="00E05F1E" w:rsidRDefault="00B17CE2" w:rsidP="00E44E4F">
      <w:pPr>
        <w:pStyle w:val="ListParagraph"/>
        <w:numPr>
          <w:ilvl w:val="0"/>
          <w:numId w:val="13"/>
        </w:numPr>
        <w:ind w:left="1134" w:hanging="283"/>
        <w:jc w:val="both"/>
        <w:rPr>
          <w:rFonts w:ascii="Arial" w:hAnsi="Arial" w:cs="Arial"/>
          <w:sz w:val="22"/>
          <w:szCs w:val="22"/>
        </w:rPr>
      </w:pPr>
      <w:r w:rsidRPr="00E05F1E">
        <w:rPr>
          <w:rFonts w:ascii="Arial" w:hAnsi="Arial" w:cs="Arial"/>
          <w:sz w:val="22"/>
          <w:szCs w:val="22"/>
        </w:rPr>
        <w:t xml:space="preserve">The financial position has deteriorated further during the month </w:t>
      </w:r>
      <w:r>
        <w:rPr>
          <w:rFonts w:ascii="Arial" w:hAnsi="Arial" w:cs="Arial"/>
          <w:sz w:val="22"/>
          <w:szCs w:val="22"/>
        </w:rPr>
        <w:t>and</w:t>
      </w:r>
      <w:r w:rsidRPr="00E05F1E">
        <w:rPr>
          <w:rFonts w:ascii="Arial" w:hAnsi="Arial" w:cs="Arial"/>
          <w:sz w:val="22"/>
          <w:szCs w:val="22"/>
        </w:rPr>
        <w:t xml:space="preserve"> the likely </w:t>
      </w:r>
      <w:r>
        <w:rPr>
          <w:rFonts w:ascii="Arial" w:hAnsi="Arial" w:cs="Arial"/>
          <w:sz w:val="22"/>
          <w:szCs w:val="22"/>
        </w:rPr>
        <w:t xml:space="preserve">outturn </w:t>
      </w:r>
      <w:r w:rsidRPr="00E05F1E">
        <w:rPr>
          <w:rFonts w:ascii="Arial" w:hAnsi="Arial" w:cs="Arial"/>
          <w:sz w:val="22"/>
          <w:szCs w:val="22"/>
        </w:rPr>
        <w:t xml:space="preserve">position is a deficit of </w:t>
      </w:r>
      <w:r w:rsidRPr="00E05F1E">
        <w:rPr>
          <w:rFonts w:ascii="Arial" w:hAnsi="Arial" w:cs="Arial"/>
          <w:b/>
          <w:sz w:val="22"/>
          <w:szCs w:val="22"/>
        </w:rPr>
        <w:t>£2.</w:t>
      </w:r>
      <w:r>
        <w:rPr>
          <w:rFonts w:ascii="Arial" w:hAnsi="Arial" w:cs="Arial"/>
          <w:b/>
          <w:sz w:val="22"/>
          <w:szCs w:val="22"/>
        </w:rPr>
        <w:t>332</w:t>
      </w:r>
      <w:r w:rsidRPr="00E05F1E">
        <w:rPr>
          <w:rFonts w:ascii="Arial" w:hAnsi="Arial" w:cs="Arial"/>
          <w:b/>
          <w:sz w:val="22"/>
          <w:szCs w:val="22"/>
        </w:rPr>
        <w:t>m</w:t>
      </w:r>
      <w:r w:rsidRPr="00E05F1E">
        <w:rPr>
          <w:rFonts w:ascii="Arial" w:hAnsi="Arial" w:cs="Arial"/>
          <w:sz w:val="22"/>
          <w:szCs w:val="22"/>
        </w:rPr>
        <w:t>.</w:t>
      </w:r>
      <w:r w:rsidR="000C49CF">
        <w:rPr>
          <w:rFonts w:ascii="Arial" w:hAnsi="Arial" w:cs="Arial"/>
          <w:sz w:val="22"/>
          <w:szCs w:val="22"/>
        </w:rPr>
        <w:t xml:space="preserve">  The likely position includes the expenditure forecast delivery of QIPP savings for the remainder of the financial year</w:t>
      </w:r>
    </w:p>
    <w:p w:rsidR="00B17CE2" w:rsidRPr="00E05F1E" w:rsidRDefault="00B17CE2" w:rsidP="00E44E4F">
      <w:pPr>
        <w:pStyle w:val="ListParagraph"/>
        <w:ind w:left="1134" w:hanging="283"/>
        <w:jc w:val="both"/>
        <w:rPr>
          <w:rFonts w:ascii="Arial" w:hAnsi="Arial" w:cs="Arial"/>
          <w:sz w:val="22"/>
          <w:szCs w:val="22"/>
        </w:rPr>
      </w:pPr>
    </w:p>
    <w:p w:rsidR="00B17CE2" w:rsidRPr="00E108D1" w:rsidRDefault="00B17CE2" w:rsidP="00E44E4F">
      <w:pPr>
        <w:pStyle w:val="ListParagraph"/>
        <w:numPr>
          <w:ilvl w:val="0"/>
          <w:numId w:val="13"/>
        </w:numPr>
        <w:ind w:left="1134" w:hanging="283"/>
        <w:jc w:val="both"/>
        <w:rPr>
          <w:rFonts w:ascii="Arial" w:hAnsi="Arial" w:cs="Arial"/>
          <w:b/>
          <w:sz w:val="22"/>
          <w:szCs w:val="22"/>
        </w:rPr>
      </w:pPr>
      <w:r>
        <w:rPr>
          <w:rFonts w:ascii="Arial" w:hAnsi="Arial" w:cs="Arial"/>
          <w:sz w:val="22"/>
          <w:szCs w:val="22"/>
        </w:rPr>
        <w:t>It should be noted that the forecast deficit does not include the 1% non-recurrent reserve which is held uncommitted as directed by NHS England.</w:t>
      </w:r>
    </w:p>
    <w:p w:rsidR="00B17CE2" w:rsidRPr="00E108D1" w:rsidRDefault="00B17CE2" w:rsidP="00E44E4F">
      <w:pPr>
        <w:pStyle w:val="ListParagraph"/>
        <w:ind w:left="1134" w:hanging="283"/>
        <w:rPr>
          <w:rFonts w:ascii="Arial" w:hAnsi="Arial" w:cs="Arial"/>
          <w:b/>
          <w:sz w:val="22"/>
          <w:szCs w:val="22"/>
        </w:rPr>
      </w:pPr>
    </w:p>
    <w:p w:rsidR="00B17CE2" w:rsidRPr="00E108D1" w:rsidRDefault="00B17CE2" w:rsidP="00E44E4F">
      <w:pPr>
        <w:pStyle w:val="ListParagraph"/>
        <w:numPr>
          <w:ilvl w:val="0"/>
          <w:numId w:val="13"/>
        </w:numPr>
        <w:ind w:left="1134" w:hanging="283"/>
        <w:jc w:val="both"/>
        <w:rPr>
          <w:rFonts w:ascii="Arial" w:hAnsi="Arial" w:cs="Arial"/>
          <w:sz w:val="22"/>
          <w:szCs w:val="22"/>
        </w:rPr>
      </w:pPr>
      <w:r w:rsidRPr="00E108D1">
        <w:rPr>
          <w:rFonts w:ascii="Arial" w:hAnsi="Arial" w:cs="Arial"/>
          <w:sz w:val="22"/>
          <w:szCs w:val="22"/>
        </w:rPr>
        <w:t>Release of the 1% reserve (£2.432m)</w:t>
      </w:r>
      <w:r>
        <w:rPr>
          <w:rFonts w:ascii="Arial" w:hAnsi="Arial" w:cs="Arial"/>
          <w:sz w:val="22"/>
          <w:szCs w:val="22"/>
        </w:rPr>
        <w:t xml:space="preserve"> will result in a surplus of £0.100m which delivers the CCG statutory financial duty to achieve a break even position.</w:t>
      </w:r>
    </w:p>
    <w:p w:rsidR="00B17CE2" w:rsidRPr="00E05F1E" w:rsidRDefault="00B17CE2" w:rsidP="00E44E4F">
      <w:pPr>
        <w:ind w:left="1134" w:hanging="283"/>
        <w:rPr>
          <w:rFonts w:ascii="Arial" w:hAnsi="Arial" w:cs="Arial"/>
          <w:sz w:val="22"/>
          <w:szCs w:val="22"/>
          <w:highlight w:val="yellow"/>
        </w:rPr>
      </w:pPr>
    </w:p>
    <w:p w:rsidR="00B17CE2" w:rsidRPr="00B17CE2" w:rsidRDefault="00B17CE2" w:rsidP="00E44E4F">
      <w:pPr>
        <w:pStyle w:val="ListParagraph"/>
        <w:numPr>
          <w:ilvl w:val="0"/>
          <w:numId w:val="13"/>
        </w:numPr>
        <w:ind w:left="1134" w:hanging="283"/>
        <w:rPr>
          <w:rFonts w:ascii="Arial" w:hAnsi="Arial" w:cs="Arial"/>
          <w:b/>
          <w:bCs/>
          <w:sz w:val="22"/>
          <w:szCs w:val="22"/>
        </w:rPr>
      </w:pPr>
      <w:r w:rsidRPr="00FC713A">
        <w:rPr>
          <w:rFonts w:ascii="Arial" w:hAnsi="Arial" w:cs="Arial"/>
          <w:bCs/>
          <w:sz w:val="22"/>
          <w:szCs w:val="22"/>
        </w:rPr>
        <w:t xml:space="preserve">The CCG is undertaking an urgent and critical review of the remaining QIPP programme areas to provide assurance that the </w:t>
      </w:r>
      <w:r>
        <w:rPr>
          <w:rFonts w:ascii="Arial" w:hAnsi="Arial" w:cs="Arial"/>
          <w:bCs/>
          <w:sz w:val="22"/>
          <w:szCs w:val="22"/>
        </w:rPr>
        <w:t xml:space="preserve">anticipated </w:t>
      </w:r>
      <w:r w:rsidRPr="00FC713A">
        <w:rPr>
          <w:rFonts w:ascii="Arial" w:hAnsi="Arial" w:cs="Arial"/>
          <w:bCs/>
          <w:sz w:val="22"/>
          <w:szCs w:val="22"/>
        </w:rPr>
        <w:t>level of savings can be achieved in the financial year.</w:t>
      </w:r>
    </w:p>
    <w:p w:rsidR="00B17CE2" w:rsidRPr="00B17CE2" w:rsidRDefault="00B17CE2" w:rsidP="00E44E4F">
      <w:pPr>
        <w:pStyle w:val="ListParagraph"/>
        <w:ind w:left="1134" w:hanging="283"/>
        <w:rPr>
          <w:rFonts w:ascii="Arial" w:hAnsi="Arial" w:cs="Arial"/>
          <w:bCs/>
          <w:sz w:val="22"/>
          <w:szCs w:val="22"/>
        </w:rPr>
      </w:pPr>
    </w:p>
    <w:p w:rsidR="00F66DC8" w:rsidRPr="00A7796F" w:rsidRDefault="00B17CE2" w:rsidP="00E44E4F">
      <w:pPr>
        <w:pStyle w:val="ListParagraph"/>
        <w:numPr>
          <w:ilvl w:val="0"/>
          <w:numId w:val="13"/>
        </w:numPr>
        <w:ind w:left="1134" w:hanging="283"/>
        <w:rPr>
          <w:rFonts w:ascii="Arial" w:hAnsi="Arial" w:cs="Arial"/>
          <w:b/>
          <w:bCs/>
          <w:sz w:val="22"/>
          <w:szCs w:val="22"/>
        </w:rPr>
      </w:pPr>
      <w:r w:rsidRPr="00B17CE2">
        <w:rPr>
          <w:rFonts w:ascii="Arial" w:hAnsi="Arial" w:cs="Arial"/>
          <w:bCs/>
          <w:sz w:val="22"/>
          <w:szCs w:val="22"/>
        </w:rPr>
        <w:t>The CCG’s commissioning team must support member practices in reviewing their commissioning arrangements to identify areas where clinical variation exists, and address accordingly.  High levels of engagement and support is required from member practices to enable the CCG to reduce levels of low value healthcare and improve value for money.</w:t>
      </w:r>
    </w:p>
    <w:p w:rsidR="00A7796F" w:rsidRPr="00A7796F" w:rsidRDefault="00A7796F" w:rsidP="00A7796F">
      <w:pPr>
        <w:pStyle w:val="ListParagraph"/>
        <w:rPr>
          <w:rFonts w:ascii="Arial" w:hAnsi="Arial" w:cs="Arial"/>
          <w:b/>
          <w:bCs/>
          <w:sz w:val="22"/>
          <w:szCs w:val="22"/>
        </w:rPr>
      </w:pPr>
    </w:p>
    <w:p w:rsidR="00A7796F" w:rsidRPr="00B17CE2" w:rsidRDefault="00A7796F" w:rsidP="00A7796F">
      <w:pPr>
        <w:pStyle w:val="ListParagraph"/>
        <w:rPr>
          <w:rFonts w:ascii="Arial" w:hAnsi="Arial" w:cs="Arial"/>
          <w:b/>
          <w:bCs/>
          <w:sz w:val="22"/>
          <w:szCs w:val="22"/>
        </w:rPr>
      </w:pPr>
    </w:p>
    <w:p w:rsidR="00347E16" w:rsidRDefault="00347E16">
      <w:pPr>
        <w:rPr>
          <w:rFonts w:ascii="Arial" w:hAnsi="Arial" w:cs="Arial"/>
          <w:b/>
          <w:sz w:val="22"/>
          <w:szCs w:val="22"/>
        </w:rPr>
      </w:pPr>
    </w:p>
    <w:p w:rsidR="00BB7C3B" w:rsidRPr="000E7795" w:rsidRDefault="00BB7C3B" w:rsidP="00AD38C8">
      <w:pPr>
        <w:shd w:val="clear" w:color="auto" w:fill="D9D9D9"/>
        <w:ind w:left="567" w:hanging="567"/>
        <w:jc w:val="both"/>
        <w:rPr>
          <w:rFonts w:ascii="Arial" w:hAnsi="Arial" w:cs="Arial"/>
          <w:b/>
          <w:sz w:val="22"/>
          <w:szCs w:val="22"/>
        </w:rPr>
      </w:pPr>
      <w:r w:rsidRPr="000E7795">
        <w:rPr>
          <w:rFonts w:ascii="Arial" w:hAnsi="Arial" w:cs="Arial"/>
          <w:b/>
          <w:sz w:val="22"/>
          <w:szCs w:val="22"/>
        </w:rPr>
        <w:t>Appendices</w:t>
      </w:r>
    </w:p>
    <w:p w:rsidR="00BB7C3B" w:rsidRDefault="00BB7C3B" w:rsidP="00AD38C8">
      <w:pPr>
        <w:ind w:left="567" w:hanging="567"/>
        <w:jc w:val="both"/>
        <w:rPr>
          <w:rFonts w:ascii="Arial" w:hAnsi="Arial" w:cs="Arial"/>
          <w:b/>
          <w:sz w:val="22"/>
          <w:szCs w:val="22"/>
        </w:rPr>
      </w:pPr>
    </w:p>
    <w:p w:rsidR="000A2916" w:rsidRPr="00F27B7D" w:rsidRDefault="000A2916" w:rsidP="000A2916">
      <w:pPr>
        <w:ind w:left="360" w:hanging="360"/>
        <w:jc w:val="both"/>
        <w:rPr>
          <w:rFonts w:ascii="Arial" w:hAnsi="Arial" w:cs="Arial"/>
          <w:bCs/>
          <w:sz w:val="22"/>
          <w:szCs w:val="22"/>
          <w:highlight w:val="yellow"/>
        </w:rPr>
      </w:pPr>
      <w:r w:rsidRPr="005402A6">
        <w:rPr>
          <w:rFonts w:ascii="Arial" w:hAnsi="Arial" w:cs="Arial"/>
          <w:bCs/>
          <w:sz w:val="22"/>
          <w:szCs w:val="22"/>
        </w:rPr>
        <w:t xml:space="preserve">Appendix 1 – Financial position - Month </w:t>
      </w:r>
      <w:r w:rsidR="00B17CE2">
        <w:rPr>
          <w:rFonts w:ascii="Arial" w:hAnsi="Arial" w:cs="Arial"/>
          <w:bCs/>
          <w:sz w:val="22"/>
          <w:szCs w:val="22"/>
        </w:rPr>
        <w:t>10</w:t>
      </w:r>
    </w:p>
    <w:p w:rsidR="000A2916" w:rsidRPr="000F0E1A" w:rsidRDefault="000A2916" w:rsidP="000A2916">
      <w:pPr>
        <w:ind w:left="360" w:hanging="360"/>
        <w:jc w:val="both"/>
        <w:rPr>
          <w:rFonts w:ascii="Arial" w:hAnsi="Arial" w:cs="Arial"/>
          <w:bCs/>
          <w:sz w:val="22"/>
          <w:szCs w:val="22"/>
        </w:rPr>
      </w:pPr>
      <w:r w:rsidRPr="000F0E1A">
        <w:rPr>
          <w:rFonts w:ascii="Arial" w:hAnsi="Arial" w:cs="Arial"/>
          <w:bCs/>
          <w:sz w:val="22"/>
          <w:szCs w:val="22"/>
        </w:rPr>
        <w:t>Appendix 2 – Provider breakdown</w:t>
      </w:r>
    </w:p>
    <w:p w:rsidR="001C0D7F" w:rsidRPr="000F0E1A" w:rsidRDefault="00D36CC8" w:rsidP="00D36CC8">
      <w:pPr>
        <w:ind w:left="360" w:hanging="360"/>
        <w:jc w:val="both"/>
        <w:rPr>
          <w:rFonts w:ascii="Arial" w:hAnsi="Arial" w:cs="Arial"/>
          <w:bCs/>
          <w:sz w:val="22"/>
          <w:szCs w:val="22"/>
        </w:rPr>
      </w:pPr>
      <w:r w:rsidRPr="000F0E1A">
        <w:rPr>
          <w:rFonts w:ascii="Arial" w:hAnsi="Arial" w:cs="Arial"/>
          <w:bCs/>
          <w:sz w:val="22"/>
          <w:szCs w:val="22"/>
        </w:rPr>
        <w:t>Appendix 3 – 2016/17 QIPP plan</w:t>
      </w:r>
    </w:p>
    <w:p w:rsidR="001A278F" w:rsidRPr="000F0E1A" w:rsidRDefault="001A278F" w:rsidP="00D36CC8">
      <w:pPr>
        <w:ind w:left="360" w:hanging="360"/>
        <w:jc w:val="both"/>
        <w:rPr>
          <w:rFonts w:ascii="Arial" w:hAnsi="Arial" w:cs="Arial"/>
          <w:bCs/>
          <w:sz w:val="22"/>
          <w:szCs w:val="22"/>
        </w:rPr>
      </w:pPr>
      <w:r w:rsidRPr="000F0E1A">
        <w:rPr>
          <w:rFonts w:ascii="Arial" w:hAnsi="Arial" w:cs="Arial"/>
          <w:bCs/>
          <w:sz w:val="22"/>
          <w:szCs w:val="22"/>
        </w:rPr>
        <w:t>Appendix 4 – Cash</w:t>
      </w:r>
      <w:r w:rsidR="00994366" w:rsidRPr="000F0E1A">
        <w:rPr>
          <w:rFonts w:ascii="Arial" w:hAnsi="Arial" w:cs="Arial"/>
          <w:bCs/>
          <w:sz w:val="22"/>
          <w:szCs w:val="22"/>
        </w:rPr>
        <w:t xml:space="preserve"> </w:t>
      </w:r>
      <w:r w:rsidRPr="000F0E1A">
        <w:rPr>
          <w:rFonts w:ascii="Arial" w:hAnsi="Arial" w:cs="Arial"/>
          <w:bCs/>
          <w:sz w:val="22"/>
          <w:szCs w:val="22"/>
        </w:rPr>
        <w:t>flow Forecast</w:t>
      </w:r>
    </w:p>
    <w:p w:rsidR="00F8593A" w:rsidRDefault="00F8593A" w:rsidP="00D36CC8">
      <w:pPr>
        <w:ind w:left="360" w:hanging="360"/>
        <w:jc w:val="both"/>
        <w:rPr>
          <w:rFonts w:ascii="Arial" w:hAnsi="Arial" w:cs="Arial"/>
          <w:bCs/>
          <w:sz w:val="22"/>
          <w:szCs w:val="22"/>
        </w:rPr>
      </w:pPr>
      <w:r w:rsidRPr="000F0E1A">
        <w:rPr>
          <w:rFonts w:ascii="Arial" w:hAnsi="Arial" w:cs="Arial"/>
          <w:bCs/>
          <w:sz w:val="22"/>
          <w:szCs w:val="22"/>
        </w:rPr>
        <w:t>Appendix 5 – Run Rate</w:t>
      </w:r>
    </w:p>
    <w:p w:rsidR="000A2916" w:rsidRDefault="00F27B7D" w:rsidP="00F27B7D">
      <w:pPr>
        <w:ind w:left="360" w:hanging="360"/>
        <w:jc w:val="both"/>
        <w:rPr>
          <w:rFonts w:ascii="Arial" w:hAnsi="Arial" w:cs="Arial"/>
          <w:b/>
          <w:sz w:val="22"/>
          <w:szCs w:val="22"/>
        </w:rPr>
      </w:pPr>
      <w:r>
        <w:rPr>
          <w:rFonts w:ascii="Arial" w:hAnsi="Arial" w:cs="Arial"/>
          <w:bCs/>
          <w:sz w:val="22"/>
          <w:szCs w:val="22"/>
        </w:rPr>
        <w:t>Appendix 6 - Prescribing Budget Reconciliation</w:t>
      </w:r>
    </w:p>
    <w:p w:rsidR="000A2916" w:rsidRDefault="000A2916" w:rsidP="00AD38C8">
      <w:pPr>
        <w:ind w:left="567" w:hanging="567"/>
        <w:jc w:val="both"/>
        <w:rPr>
          <w:rFonts w:ascii="Arial" w:hAnsi="Arial" w:cs="Arial"/>
          <w:b/>
          <w:sz w:val="22"/>
          <w:szCs w:val="22"/>
        </w:rPr>
      </w:pPr>
    </w:p>
    <w:p w:rsidR="00FF1F44" w:rsidRDefault="00FF1F44" w:rsidP="00AD38C8">
      <w:pPr>
        <w:ind w:left="567" w:hanging="567"/>
        <w:jc w:val="both"/>
        <w:rPr>
          <w:rFonts w:ascii="Arial" w:hAnsi="Arial" w:cs="Arial"/>
          <w:b/>
          <w:sz w:val="22"/>
          <w:szCs w:val="22"/>
        </w:rPr>
      </w:pPr>
    </w:p>
    <w:p w:rsidR="00FF1F44" w:rsidRDefault="00FF1F44" w:rsidP="00AD38C8">
      <w:pPr>
        <w:ind w:left="567" w:hanging="567"/>
        <w:jc w:val="both"/>
        <w:rPr>
          <w:rFonts w:ascii="Arial" w:hAnsi="Arial" w:cs="Arial"/>
          <w:b/>
          <w:sz w:val="22"/>
          <w:szCs w:val="22"/>
        </w:rPr>
      </w:pPr>
    </w:p>
    <w:p w:rsidR="00FF1F44" w:rsidRDefault="00FF1F44" w:rsidP="00AD38C8">
      <w:pPr>
        <w:ind w:left="567" w:hanging="567"/>
        <w:jc w:val="both"/>
        <w:rPr>
          <w:rFonts w:ascii="Arial" w:hAnsi="Arial" w:cs="Arial"/>
          <w:b/>
          <w:sz w:val="22"/>
          <w:szCs w:val="22"/>
        </w:rPr>
      </w:pPr>
    </w:p>
    <w:p w:rsidR="00FF1F44" w:rsidRDefault="00FF1F44" w:rsidP="00AD38C8">
      <w:pPr>
        <w:ind w:left="567" w:hanging="567"/>
        <w:jc w:val="both"/>
        <w:rPr>
          <w:rFonts w:ascii="Arial" w:hAnsi="Arial" w:cs="Arial"/>
          <w:b/>
          <w:sz w:val="22"/>
          <w:szCs w:val="22"/>
        </w:rPr>
      </w:pPr>
    </w:p>
    <w:p w:rsidR="00FF1F44" w:rsidRDefault="00FF1F44" w:rsidP="00AD38C8">
      <w:pPr>
        <w:ind w:left="567" w:hanging="567"/>
        <w:jc w:val="both"/>
        <w:rPr>
          <w:rFonts w:ascii="Arial" w:hAnsi="Arial" w:cs="Arial"/>
          <w:b/>
          <w:sz w:val="22"/>
          <w:szCs w:val="22"/>
        </w:rPr>
      </w:pPr>
    </w:p>
    <w:p w:rsidR="000A2916" w:rsidRDefault="000A2916" w:rsidP="00AD38C8">
      <w:pPr>
        <w:ind w:left="567" w:hanging="567"/>
        <w:jc w:val="both"/>
        <w:rPr>
          <w:rFonts w:ascii="Arial" w:hAnsi="Arial" w:cs="Arial"/>
          <w:b/>
          <w:sz w:val="22"/>
          <w:szCs w:val="22"/>
        </w:rPr>
      </w:pPr>
    </w:p>
    <w:p w:rsidR="000A2916" w:rsidRDefault="000A2916" w:rsidP="00AD38C8">
      <w:pPr>
        <w:ind w:left="567" w:hanging="567"/>
        <w:jc w:val="both"/>
        <w:rPr>
          <w:rFonts w:ascii="Arial" w:hAnsi="Arial" w:cs="Arial"/>
          <w:b/>
          <w:sz w:val="22"/>
          <w:szCs w:val="22"/>
        </w:rPr>
      </w:pPr>
    </w:p>
    <w:p w:rsidR="000A2916" w:rsidRDefault="000A2916" w:rsidP="00AD38C8">
      <w:pPr>
        <w:ind w:left="567" w:hanging="567"/>
        <w:jc w:val="both"/>
        <w:rPr>
          <w:rFonts w:ascii="Arial" w:hAnsi="Arial" w:cs="Arial"/>
          <w:b/>
          <w:sz w:val="22"/>
          <w:szCs w:val="22"/>
        </w:rPr>
      </w:pPr>
    </w:p>
    <w:p w:rsidR="000A101C" w:rsidRDefault="000A101C" w:rsidP="00AD38C8">
      <w:pPr>
        <w:ind w:left="567" w:hanging="567"/>
        <w:jc w:val="both"/>
        <w:rPr>
          <w:rFonts w:ascii="Arial" w:hAnsi="Arial" w:cs="Arial"/>
          <w:b/>
          <w:sz w:val="22"/>
          <w:szCs w:val="22"/>
        </w:rPr>
      </w:pPr>
    </w:p>
    <w:p w:rsidR="000A101C" w:rsidRDefault="000A101C" w:rsidP="00AD38C8">
      <w:pPr>
        <w:jc w:val="both"/>
        <w:rPr>
          <w:rFonts w:ascii="Arial" w:hAnsi="Arial" w:cs="Arial"/>
          <w:b/>
          <w:sz w:val="22"/>
          <w:szCs w:val="22"/>
        </w:rPr>
      </w:pPr>
    </w:p>
    <w:p w:rsidR="001A278F" w:rsidRDefault="001A278F" w:rsidP="00AD38C8">
      <w:pPr>
        <w:jc w:val="both"/>
        <w:rPr>
          <w:rFonts w:ascii="Arial" w:hAnsi="Arial" w:cs="Arial"/>
          <w:b/>
          <w:sz w:val="22"/>
          <w:szCs w:val="22"/>
        </w:rPr>
      </w:pPr>
    </w:p>
    <w:p w:rsidR="001A278F" w:rsidRDefault="001A278F" w:rsidP="00AD38C8">
      <w:pPr>
        <w:jc w:val="both"/>
        <w:rPr>
          <w:rFonts w:ascii="Arial" w:hAnsi="Arial" w:cs="Arial"/>
          <w:b/>
          <w:sz w:val="22"/>
          <w:szCs w:val="22"/>
        </w:rPr>
      </w:pPr>
    </w:p>
    <w:p w:rsidR="00F66DC8" w:rsidRDefault="00F66DC8">
      <w:pPr>
        <w:rPr>
          <w:rFonts w:ascii="Arial" w:hAnsi="Arial" w:cs="Arial"/>
          <w:b/>
          <w:noProof/>
          <w:sz w:val="22"/>
        </w:rPr>
      </w:pPr>
      <w:r>
        <w:rPr>
          <w:rFonts w:ascii="Arial" w:hAnsi="Arial" w:cs="Arial"/>
          <w:b/>
          <w:noProof/>
          <w:sz w:val="22"/>
        </w:rPr>
        <w:br w:type="page"/>
      </w:r>
    </w:p>
    <w:p w:rsidR="00FF51E3" w:rsidRDefault="00FF51E3" w:rsidP="00F66DC8">
      <w:pPr>
        <w:jc w:val="right"/>
        <w:rPr>
          <w:rFonts w:ascii="Arial" w:hAnsi="Arial" w:cs="Arial"/>
          <w:b/>
          <w:noProof/>
          <w:sz w:val="22"/>
        </w:rPr>
      </w:pPr>
      <w:r w:rsidRPr="00FF51E3">
        <w:rPr>
          <w:rFonts w:ascii="Arial" w:hAnsi="Arial" w:cs="Arial"/>
          <w:b/>
          <w:noProof/>
          <w:sz w:val="22"/>
        </w:rPr>
        <w:lastRenderedPageBreak/>
        <w:t>Appendix 1</w:t>
      </w:r>
      <w:r w:rsidR="00B17CE2">
        <w:rPr>
          <w:rFonts w:ascii="Arial" w:hAnsi="Arial" w:cs="Arial"/>
          <w:b/>
          <w:noProof/>
          <w:sz w:val="22"/>
        </w:rPr>
        <w:t xml:space="preserve"> – Financial Position Month 10</w:t>
      </w:r>
    </w:p>
    <w:p w:rsidR="00FF51E3" w:rsidRPr="00FF51E3" w:rsidRDefault="005F44A4" w:rsidP="00FF51E3">
      <w:pPr>
        <w:jc w:val="right"/>
        <w:rPr>
          <w:rFonts w:ascii="Arial" w:hAnsi="Arial" w:cs="Arial"/>
          <w:b/>
          <w:sz w:val="20"/>
          <w:szCs w:val="22"/>
        </w:rPr>
      </w:pPr>
      <w:r w:rsidRPr="005F44A4">
        <w:rPr>
          <w:noProof/>
        </w:rPr>
        <w:drawing>
          <wp:inline distT="0" distB="0" distL="0" distR="0" wp14:anchorId="731ECBBB" wp14:editId="7F7AC8CE">
            <wp:extent cx="6112711" cy="844867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8458929"/>
                    </a:xfrm>
                    <a:prstGeom prst="rect">
                      <a:avLst/>
                    </a:prstGeom>
                    <a:noFill/>
                    <a:ln>
                      <a:noFill/>
                    </a:ln>
                  </pic:spPr>
                </pic:pic>
              </a:graphicData>
            </a:graphic>
          </wp:inline>
        </w:drawing>
      </w:r>
    </w:p>
    <w:p w:rsidR="00F27466" w:rsidRDefault="00FF51E3" w:rsidP="00BE0FAC">
      <w:pPr>
        <w:jc w:val="right"/>
        <w:rPr>
          <w:rFonts w:ascii="Arial" w:hAnsi="Arial" w:cs="Arial"/>
          <w:b/>
          <w:noProof/>
          <w:sz w:val="22"/>
        </w:rPr>
      </w:pPr>
      <w:r w:rsidRPr="00FF51E3">
        <w:rPr>
          <w:rFonts w:ascii="Arial" w:hAnsi="Arial" w:cs="Arial"/>
          <w:b/>
          <w:noProof/>
          <w:sz w:val="22"/>
        </w:rPr>
        <w:lastRenderedPageBreak/>
        <w:t>Appendix 2</w:t>
      </w:r>
      <w:r w:rsidR="002A1789">
        <w:rPr>
          <w:rFonts w:ascii="Arial" w:hAnsi="Arial" w:cs="Arial"/>
          <w:b/>
          <w:noProof/>
          <w:sz w:val="22"/>
        </w:rPr>
        <w:t xml:space="preserve"> – Detailed Breakdown of Provider Costs</w:t>
      </w:r>
    </w:p>
    <w:p w:rsidR="000F0BDF" w:rsidRPr="00BE0FAC" w:rsidRDefault="000F0BDF" w:rsidP="00BE0FAC">
      <w:pPr>
        <w:jc w:val="right"/>
        <w:rPr>
          <w:rFonts w:ascii="Arial" w:hAnsi="Arial" w:cs="Arial"/>
          <w:b/>
          <w:sz w:val="20"/>
          <w:szCs w:val="22"/>
        </w:rPr>
      </w:pPr>
    </w:p>
    <w:p w:rsidR="00F27466" w:rsidRDefault="000F0BDF" w:rsidP="00AD38C8">
      <w:pPr>
        <w:jc w:val="both"/>
        <w:rPr>
          <w:rFonts w:ascii="Arial" w:hAnsi="Arial" w:cs="Arial"/>
          <w:b/>
          <w:sz w:val="22"/>
          <w:szCs w:val="22"/>
        </w:rPr>
      </w:pPr>
      <w:r w:rsidRPr="000F0BDF">
        <w:rPr>
          <w:noProof/>
        </w:rPr>
        <w:drawing>
          <wp:inline distT="0" distB="0" distL="0" distR="0" wp14:anchorId="34F0BC09" wp14:editId="126A7A17">
            <wp:extent cx="6122695" cy="6267450"/>
            <wp:effectExtent l="19050" t="19050" r="11430"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6264824"/>
                    </a:xfrm>
                    <a:prstGeom prst="rect">
                      <a:avLst/>
                    </a:prstGeom>
                    <a:noFill/>
                    <a:ln w="6350">
                      <a:solidFill>
                        <a:schemeClr val="tx1"/>
                      </a:solidFill>
                    </a:ln>
                  </pic:spPr>
                </pic:pic>
              </a:graphicData>
            </a:graphic>
          </wp:inline>
        </w:drawing>
      </w:r>
    </w:p>
    <w:p w:rsidR="00F27466" w:rsidRDefault="00F27466" w:rsidP="00AD38C8">
      <w:pPr>
        <w:jc w:val="both"/>
        <w:rPr>
          <w:rFonts w:ascii="Arial" w:hAnsi="Arial" w:cs="Arial"/>
          <w:b/>
          <w:sz w:val="22"/>
          <w:szCs w:val="22"/>
        </w:rPr>
      </w:pPr>
    </w:p>
    <w:p w:rsidR="00F27466" w:rsidRDefault="00F27466" w:rsidP="00AD38C8">
      <w:pPr>
        <w:jc w:val="both"/>
        <w:rPr>
          <w:rFonts w:ascii="Arial" w:hAnsi="Arial" w:cs="Arial"/>
          <w:b/>
          <w:sz w:val="22"/>
          <w:szCs w:val="22"/>
        </w:rPr>
      </w:pPr>
    </w:p>
    <w:p w:rsidR="002A1789" w:rsidRDefault="002A1789" w:rsidP="00D36CC8">
      <w:pPr>
        <w:jc w:val="right"/>
        <w:rPr>
          <w:rFonts w:ascii="Arial" w:hAnsi="Arial" w:cs="Arial"/>
          <w:b/>
          <w:noProof/>
          <w:sz w:val="22"/>
        </w:rPr>
      </w:pPr>
    </w:p>
    <w:p w:rsidR="00D36CC8" w:rsidRPr="00D36CC8" w:rsidRDefault="000F0BDF" w:rsidP="00D36CC8">
      <w:pPr>
        <w:jc w:val="right"/>
        <w:rPr>
          <w:rFonts w:ascii="Arial" w:hAnsi="Arial" w:cs="Arial"/>
          <w:b/>
          <w:sz w:val="22"/>
          <w:szCs w:val="22"/>
        </w:rPr>
      </w:pPr>
      <w:r w:rsidRPr="000F0BDF">
        <w:rPr>
          <w:noProof/>
        </w:rPr>
        <w:lastRenderedPageBreak/>
        <w:drawing>
          <wp:inline distT="0" distB="0" distL="0" distR="0" wp14:anchorId="00A1C7F0" wp14:editId="597FE5C7">
            <wp:extent cx="6120130" cy="2420424"/>
            <wp:effectExtent l="19050" t="19050" r="13970" b="184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2420424"/>
                    </a:xfrm>
                    <a:prstGeom prst="rect">
                      <a:avLst/>
                    </a:prstGeom>
                    <a:noFill/>
                    <a:ln w="9525">
                      <a:solidFill>
                        <a:schemeClr val="tx1"/>
                      </a:solidFill>
                    </a:ln>
                  </pic:spPr>
                </pic:pic>
              </a:graphicData>
            </a:graphic>
          </wp:inline>
        </w:drawing>
      </w:r>
    </w:p>
    <w:p w:rsidR="009D01EB" w:rsidRDefault="009D01EB" w:rsidP="00AD38C8">
      <w:pPr>
        <w:jc w:val="both"/>
        <w:rPr>
          <w:rFonts w:ascii="Arial" w:hAnsi="Arial" w:cs="Arial"/>
          <w:b/>
          <w:sz w:val="22"/>
          <w:szCs w:val="22"/>
        </w:rPr>
      </w:pPr>
    </w:p>
    <w:p w:rsidR="009D01EB" w:rsidRDefault="009D01EB" w:rsidP="00AD38C8">
      <w:pPr>
        <w:jc w:val="both"/>
        <w:rPr>
          <w:rFonts w:ascii="Arial" w:hAnsi="Arial" w:cs="Arial"/>
          <w:b/>
          <w:sz w:val="22"/>
          <w:szCs w:val="22"/>
        </w:rPr>
      </w:pPr>
    </w:p>
    <w:p w:rsidR="009D01EB" w:rsidRDefault="009D01EB"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F620F9" w:rsidRDefault="00F620F9" w:rsidP="00AD38C8">
      <w:pPr>
        <w:jc w:val="both"/>
        <w:rPr>
          <w:rFonts w:ascii="Arial" w:hAnsi="Arial" w:cs="Arial"/>
          <w:b/>
          <w:sz w:val="22"/>
          <w:szCs w:val="22"/>
        </w:rPr>
      </w:pPr>
    </w:p>
    <w:p w:rsidR="00F620F9" w:rsidRDefault="00F620F9" w:rsidP="00AD38C8">
      <w:pPr>
        <w:jc w:val="both"/>
        <w:rPr>
          <w:rFonts w:ascii="Arial" w:hAnsi="Arial" w:cs="Arial"/>
          <w:b/>
          <w:sz w:val="22"/>
          <w:szCs w:val="22"/>
        </w:rPr>
      </w:pPr>
    </w:p>
    <w:p w:rsidR="00F620F9" w:rsidRDefault="00F620F9" w:rsidP="00AD38C8">
      <w:pPr>
        <w:jc w:val="both"/>
        <w:rPr>
          <w:rFonts w:ascii="Arial" w:hAnsi="Arial" w:cs="Arial"/>
          <w:b/>
          <w:sz w:val="22"/>
          <w:szCs w:val="22"/>
        </w:rPr>
      </w:pPr>
    </w:p>
    <w:p w:rsidR="00F620F9" w:rsidRDefault="00F620F9" w:rsidP="00AD38C8">
      <w:pPr>
        <w:jc w:val="both"/>
        <w:rPr>
          <w:rFonts w:ascii="Arial" w:hAnsi="Arial" w:cs="Arial"/>
          <w:b/>
          <w:sz w:val="22"/>
          <w:szCs w:val="22"/>
        </w:rPr>
      </w:pPr>
    </w:p>
    <w:p w:rsidR="00F620F9" w:rsidRDefault="00F620F9" w:rsidP="00AD38C8">
      <w:pPr>
        <w:jc w:val="both"/>
        <w:rPr>
          <w:rFonts w:ascii="Arial" w:hAnsi="Arial" w:cs="Arial"/>
          <w:b/>
          <w:sz w:val="22"/>
          <w:szCs w:val="22"/>
        </w:rPr>
      </w:pPr>
    </w:p>
    <w:p w:rsidR="00F620F9" w:rsidRDefault="00F620F9" w:rsidP="00AD38C8">
      <w:pPr>
        <w:jc w:val="both"/>
        <w:rPr>
          <w:rFonts w:ascii="Arial" w:hAnsi="Arial" w:cs="Arial"/>
          <w:b/>
          <w:sz w:val="22"/>
          <w:szCs w:val="22"/>
        </w:rPr>
      </w:pPr>
    </w:p>
    <w:p w:rsidR="00F620F9" w:rsidRDefault="00F620F9" w:rsidP="00AD38C8">
      <w:pPr>
        <w:jc w:val="both"/>
        <w:rPr>
          <w:rFonts w:ascii="Arial" w:hAnsi="Arial" w:cs="Arial"/>
          <w:b/>
          <w:sz w:val="22"/>
          <w:szCs w:val="22"/>
        </w:rPr>
      </w:pPr>
    </w:p>
    <w:p w:rsidR="00F620F9" w:rsidRDefault="00F620F9" w:rsidP="00AD38C8">
      <w:pPr>
        <w:jc w:val="both"/>
        <w:rPr>
          <w:rFonts w:ascii="Arial" w:hAnsi="Arial" w:cs="Arial"/>
          <w:b/>
          <w:sz w:val="22"/>
          <w:szCs w:val="22"/>
        </w:rPr>
      </w:pPr>
    </w:p>
    <w:p w:rsidR="00F620F9" w:rsidRDefault="00F620F9"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D36CC8" w:rsidRDefault="00D36CC8" w:rsidP="00AD38C8">
      <w:pPr>
        <w:jc w:val="both"/>
        <w:rPr>
          <w:rFonts w:ascii="Arial" w:hAnsi="Arial" w:cs="Arial"/>
          <w:b/>
          <w:sz w:val="22"/>
          <w:szCs w:val="22"/>
        </w:rPr>
      </w:pPr>
    </w:p>
    <w:p w:rsidR="00F51C21" w:rsidRDefault="00F51C21">
      <w:pPr>
        <w:rPr>
          <w:rFonts w:ascii="Arial" w:hAnsi="Arial" w:cs="Arial"/>
          <w:b/>
          <w:sz w:val="22"/>
          <w:szCs w:val="22"/>
        </w:rPr>
      </w:pPr>
      <w:r>
        <w:rPr>
          <w:rFonts w:ascii="Arial" w:hAnsi="Arial" w:cs="Arial"/>
          <w:b/>
          <w:sz w:val="22"/>
          <w:szCs w:val="22"/>
        </w:rPr>
        <w:br w:type="page"/>
      </w:r>
    </w:p>
    <w:p w:rsidR="005E7ABA" w:rsidRDefault="00D36CC8" w:rsidP="005B6A53">
      <w:pPr>
        <w:jc w:val="right"/>
        <w:rPr>
          <w:rFonts w:ascii="Arial" w:hAnsi="Arial" w:cs="Arial"/>
          <w:b/>
          <w:sz w:val="22"/>
          <w:szCs w:val="22"/>
        </w:rPr>
      </w:pPr>
      <w:r w:rsidRPr="005B6A53">
        <w:rPr>
          <w:rFonts w:ascii="Arial" w:hAnsi="Arial" w:cs="Arial"/>
          <w:b/>
          <w:sz w:val="22"/>
          <w:szCs w:val="22"/>
        </w:rPr>
        <w:lastRenderedPageBreak/>
        <w:t>Appendix 3</w:t>
      </w:r>
      <w:r w:rsidR="002A1789">
        <w:rPr>
          <w:rFonts w:ascii="Arial" w:hAnsi="Arial" w:cs="Arial"/>
          <w:b/>
          <w:sz w:val="22"/>
          <w:szCs w:val="22"/>
        </w:rPr>
        <w:t xml:space="preserve"> – 2016/17 QIPP Plan</w:t>
      </w:r>
    </w:p>
    <w:p w:rsidR="00DE5959" w:rsidRDefault="000F0BDF" w:rsidP="00D36CC8">
      <w:pPr>
        <w:rPr>
          <w:rFonts w:ascii="Arial" w:hAnsi="Arial" w:cs="Arial"/>
          <w:b/>
          <w:sz w:val="22"/>
          <w:szCs w:val="22"/>
        </w:rPr>
      </w:pPr>
      <w:r w:rsidRPr="000F0BDF">
        <w:rPr>
          <w:noProof/>
        </w:rPr>
        <w:drawing>
          <wp:inline distT="0" distB="0" distL="0" distR="0" wp14:anchorId="47426500" wp14:editId="5929818C">
            <wp:extent cx="6120130" cy="788355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7883557"/>
                    </a:xfrm>
                    <a:prstGeom prst="rect">
                      <a:avLst/>
                    </a:prstGeom>
                    <a:noFill/>
                    <a:ln>
                      <a:noFill/>
                    </a:ln>
                  </pic:spPr>
                </pic:pic>
              </a:graphicData>
            </a:graphic>
          </wp:inline>
        </w:drawing>
      </w:r>
    </w:p>
    <w:p w:rsidR="00F27B7D" w:rsidRDefault="00F27B7D" w:rsidP="00D36CC8">
      <w:pPr>
        <w:rPr>
          <w:rFonts w:ascii="Arial" w:hAnsi="Arial" w:cs="Arial"/>
          <w:b/>
          <w:sz w:val="22"/>
          <w:szCs w:val="22"/>
        </w:rPr>
      </w:pPr>
    </w:p>
    <w:p w:rsidR="00F27B7D" w:rsidRDefault="000F0BDF" w:rsidP="00D36CC8">
      <w:pPr>
        <w:rPr>
          <w:rFonts w:ascii="Arial" w:hAnsi="Arial" w:cs="Arial"/>
          <w:b/>
          <w:sz w:val="22"/>
          <w:szCs w:val="22"/>
        </w:rPr>
      </w:pPr>
      <w:r w:rsidRPr="000F0BDF">
        <w:rPr>
          <w:noProof/>
        </w:rPr>
        <w:lastRenderedPageBreak/>
        <w:drawing>
          <wp:inline distT="0" distB="0" distL="0" distR="0" wp14:anchorId="22940049" wp14:editId="22DBB741">
            <wp:extent cx="6120130" cy="609246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6092468"/>
                    </a:xfrm>
                    <a:prstGeom prst="rect">
                      <a:avLst/>
                    </a:prstGeom>
                    <a:noFill/>
                    <a:ln>
                      <a:noFill/>
                    </a:ln>
                  </pic:spPr>
                </pic:pic>
              </a:graphicData>
            </a:graphic>
          </wp:inline>
        </w:drawing>
      </w:r>
    </w:p>
    <w:p w:rsidR="00DE5959" w:rsidRDefault="00DE5959" w:rsidP="00D36CC8">
      <w:pPr>
        <w:rPr>
          <w:rFonts w:ascii="Arial" w:hAnsi="Arial" w:cs="Arial"/>
          <w:b/>
          <w:sz w:val="22"/>
          <w:szCs w:val="22"/>
        </w:rPr>
      </w:pPr>
    </w:p>
    <w:p w:rsidR="00F51C21" w:rsidRDefault="00F51C21" w:rsidP="00D36CC8">
      <w:pPr>
        <w:rPr>
          <w:rFonts w:ascii="Arial" w:hAnsi="Arial" w:cs="Arial"/>
          <w:b/>
          <w:sz w:val="22"/>
          <w:szCs w:val="22"/>
        </w:rPr>
      </w:pPr>
    </w:p>
    <w:p w:rsidR="00B46DA4" w:rsidRDefault="00B46DA4" w:rsidP="00D36CC8">
      <w:pPr>
        <w:rPr>
          <w:rFonts w:ascii="Arial" w:hAnsi="Arial" w:cs="Arial"/>
          <w:b/>
          <w:sz w:val="22"/>
          <w:szCs w:val="22"/>
        </w:rPr>
      </w:pPr>
    </w:p>
    <w:p w:rsidR="00B46DA4" w:rsidRDefault="00B46DA4" w:rsidP="00D36CC8">
      <w:pPr>
        <w:rPr>
          <w:rFonts w:ascii="Arial" w:hAnsi="Arial" w:cs="Arial"/>
          <w:b/>
          <w:sz w:val="22"/>
          <w:szCs w:val="22"/>
        </w:rPr>
        <w:sectPr w:rsidR="00B46DA4" w:rsidSect="0097454B">
          <w:footerReference w:type="default" r:id="rId33"/>
          <w:pgSz w:w="11906" w:h="16838"/>
          <w:pgMar w:top="1134" w:right="1134" w:bottom="1134" w:left="1134" w:header="709" w:footer="146" w:gutter="0"/>
          <w:cols w:space="708"/>
          <w:docGrid w:linePitch="360"/>
        </w:sectPr>
      </w:pPr>
    </w:p>
    <w:p w:rsidR="00DE5959" w:rsidRDefault="00DE5959" w:rsidP="008D59AD">
      <w:pPr>
        <w:jc w:val="right"/>
        <w:rPr>
          <w:rFonts w:ascii="Arial" w:hAnsi="Arial" w:cs="Arial"/>
          <w:b/>
          <w:sz w:val="22"/>
          <w:szCs w:val="22"/>
        </w:rPr>
      </w:pPr>
      <w:r w:rsidRPr="008D59AD">
        <w:rPr>
          <w:rFonts w:ascii="Arial" w:hAnsi="Arial" w:cs="Arial"/>
          <w:b/>
          <w:sz w:val="22"/>
          <w:szCs w:val="22"/>
        </w:rPr>
        <w:lastRenderedPageBreak/>
        <w:t>Appendix 4</w:t>
      </w:r>
      <w:r w:rsidR="002A1789">
        <w:rPr>
          <w:rFonts w:ascii="Arial" w:hAnsi="Arial" w:cs="Arial"/>
          <w:b/>
          <w:sz w:val="22"/>
          <w:szCs w:val="22"/>
        </w:rPr>
        <w:t xml:space="preserve"> – Cash Flow Forecast</w:t>
      </w:r>
    </w:p>
    <w:p w:rsidR="008D59AD" w:rsidRDefault="008D59AD" w:rsidP="008D59AD">
      <w:pPr>
        <w:jc w:val="right"/>
        <w:rPr>
          <w:rFonts w:ascii="Arial" w:hAnsi="Arial" w:cs="Arial"/>
          <w:b/>
          <w:sz w:val="22"/>
          <w:szCs w:val="22"/>
        </w:rPr>
      </w:pPr>
    </w:p>
    <w:p w:rsidR="008D59AD" w:rsidRDefault="008D59AD" w:rsidP="008D59AD">
      <w:pPr>
        <w:jc w:val="right"/>
        <w:rPr>
          <w:rFonts w:ascii="Arial" w:hAnsi="Arial" w:cs="Arial"/>
          <w:b/>
          <w:sz w:val="22"/>
          <w:szCs w:val="22"/>
        </w:rPr>
      </w:pPr>
    </w:p>
    <w:p w:rsidR="00DE5959" w:rsidRDefault="00823C5F" w:rsidP="00D36CC8">
      <w:pPr>
        <w:rPr>
          <w:rFonts w:ascii="Arial" w:hAnsi="Arial" w:cs="Arial"/>
          <w:b/>
          <w:sz w:val="22"/>
          <w:szCs w:val="22"/>
        </w:rPr>
      </w:pPr>
      <w:r>
        <w:rPr>
          <w:rFonts w:ascii="Arial" w:hAnsi="Arial" w:cs="Arial"/>
          <w:b/>
          <w:noProof/>
          <w:sz w:val="22"/>
          <w:szCs w:val="22"/>
        </w:rPr>
        <w:drawing>
          <wp:inline distT="0" distB="0" distL="0" distR="0" wp14:anchorId="129A016F">
            <wp:extent cx="8864600" cy="3761740"/>
            <wp:effectExtent l="19050" t="19050" r="1270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64600" cy="3761740"/>
                    </a:xfrm>
                    <a:prstGeom prst="rect">
                      <a:avLst/>
                    </a:prstGeom>
                    <a:noFill/>
                    <a:ln w="9525">
                      <a:solidFill>
                        <a:schemeClr val="tx1"/>
                      </a:solidFill>
                    </a:ln>
                  </pic:spPr>
                </pic:pic>
              </a:graphicData>
            </a:graphic>
          </wp:inline>
        </w:drawing>
      </w:r>
    </w:p>
    <w:p w:rsidR="00F8593A" w:rsidRDefault="00F8593A" w:rsidP="00D36CC8">
      <w:pPr>
        <w:rPr>
          <w:rFonts w:ascii="Arial" w:hAnsi="Arial" w:cs="Arial"/>
          <w:b/>
          <w:sz w:val="22"/>
          <w:szCs w:val="22"/>
        </w:rPr>
      </w:pPr>
    </w:p>
    <w:p w:rsidR="00F8593A" w:rsidRDefault="00F8593A" w:rsidP="00D36CC8">
      <w:pPr>
        <w:rPr>
          <w:rFonts w:ascii="Arial" w:hAnsi="Arial" w:cs="Arial"/>
          <w:b/>
          <w:sz w:val="22"/>
          <w:szCs w:val="22"/>
        </w:rPr>
      </w:pPr>
    </w:p>
    <w:p w:rsidR="00F8593A" w:rsidRDefault="00F8593A" w:rsidP="00D36CC8">
      <w:pPr>
        <w:rPr>
          <w:rFonts w:ascii="Arial" w:hAnsi="Arial" w:cs="Arial"/>
          <w:b/>
          <w:sz w:val="22"/>
          <w:szCs w:val="22"/>
        </w:rPr>
      </w:pPr>
    </w:p>
    <w:p w:rsidR="00823C5F" w:rsidRDefault="00823C5F" w:rsidP="00D36CC8">
      <w:pPr>
        <w:rPr>
          <w:rFonts w:ascii="Arial" w:hAnsi="Arial" w:cs="Arial"/>
          <w:b/>
          <w:sz w:val="22"/>
          <w:szCs w:val="22"/>
        </w:rPr>
      </w:pPr>
    </w:p>
    <w:p w:rsidR="00823C5F" w:rsidRDefault="00823C5F" w:rsidP="00D36CC8">
      <w:pPr>
        <w:rPr>
          <w:rFonts w:ascii="Arial" w:hAnsi="Arial" w:cs="Arial"/>
          <w:b/>
          <w:sz w:val="22"/>
          <w:szCs w:val="22"/>
        </w:rPr>
      </w:pPr>
    </w:p>
    <w:p w:rsidR="00823C5F" w:rsidRDefault="00823C5F" w:rsidP="00D36CC8">
      <w:pPr>
        <w:rPr>
          <w:rFonts w:ascii="Arial" w:hAnsi="Arial" w:cs="Arial"/>
          <w:b/>
          <w:sz w:val="22"/>
          <w:szCs w:val="22"/>
        </w:rPr>
      </w:pPr>
    </w:p>
    <w:p w:rsidR="00823C5F" w:rsidRDefault="00823C5F" w:rsidP="00D36CC8">
      <w:pPr>
        <w:rPr>
          <w:rFonts w:ascii="Arial" w:hAnsi="Arial" w:cs="Arial"/>
          <w:b/>
          <w:sz w:val="22"/>
          <w:szCs w:val="22"/>
        </w:rPr>
      </w:pPr>
    </w:p>
    <w:p w:rsidR="00F8593A" w:rsidRDefault="00F8593A" w:rsidP="00F8593A">
      <w:pPr>
        <w:jc w:val="right"/>
        <w:rPr>
          <w:rFonts w:ascii="Arial" w:hAnsi="Arial" w:cs="Arial"/>
          <w:b/>
          <w:sz w:val="22"/>
          <w:szCs w:val="22"/>
        </w:rPr>
      </w:pPr>
      <w:r>
        <w:rPr>
          <w:rFonts w:ascii="Arial" w:hAnsi="Arial" w:cs="Arial"/>
          <w:b/>
          <w:sz w:val="22"/>
          <w:szCs w:val="22"/>
        </w:rPr>
        <w:lastRenderedPageBreak/>
        <w:t>Appendix 5</w:t>
      </w:r>
      <w:r w:rsidR="002A1789">
        <w:rPr>
          <w:rFonts w:ascii="Arial" w:hAnsi="Arial" w:cs="Arial"/>
          <w:b/>
          <w:sz w:val="22"/>
          <w:szCs w:val="22"/>
        </w:rPr>
        <w:t xml:space="preserve"> – CCG Run Rate</w:t>
      </w:r>
    </w:p>
    <w:p w:rsidR="00F8593A" w:rsidRDefault="000F0E1A" w:rsidP="00F8593A">
      <w:pPr>
        <w:jc w:val="right"/>
        <w:rPr>
          <w:rFonts w:ascii="Arial" w:hAnsi="Arial" w:cs="Arial"/>
          <w:b/>
          <w:sz w:val="22"/>
          <w:szCs w:val="22"/>
        </w:rPr>
      </w:pPr>
      <w:r w:rsidRPr="000F0E1A">
        <w:rPr>
          <w:noProof/>
        </w:rPr>
        <w:drawing>
          <wp:inline distT="0" distB="0" distL="0" distR="0" wp14:anchorId="37E8E525" wp14:editId="7CAB8BC9">
            <wp:extent cx="9251950" cy="4166083"/>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51950" cy="4166083"/>
                    </a:xfrm>
                    <a:prstGeom prst="rect">
                      <a:avLst/>
                    </a:prstGeom>
                    <a:noFill/>
                    <a:ln>
                      <a:noFill/>
                    </a:ln>
                  </pic:spPr>
                </pic:pic>
              </a:graphicData>
            </a:graphic>
          </wp:inline>
        </w:drawing>
      </w:r>
    </w:p>
    <w:p w:rsidR="00B93736" w:rsidRDefault="00B93736" w:rsidP="00F8593A">
      <w:pPr>
        <w:jc w:val="right"/>
        <w:rPr>
          <w:noProof/>
        </w:rPr>
      </w:pPr>
    </w:p>
    <w:p w:rsidR="00940871" w:rsidRDefault="00940871" w:rsidP="00940871">
      <w:pPr>
        <w:rPr>
          <w:noProof/>
        </w:rPr>
      </w:pPr>
    </w:p>
    <w:p w:rsidR="00940871" w:rsidRDefault="00940871" w:rsidP="00940871">
      <w:pPr>
        <w:rPr>
          <w:noProof/>
        </w:rPr>
      </w:pPr>
    </w:p>
    <w:p w:rsidR="00940871" w:rsidRDefault="00940871" w:rsidP="00940871">
      <w:pPr>
        <w:rPr>
          <w:noProof/>
        </w:rPr>
      </w:pPr>
    </w:p>
    <w:p w:rsidR="00940871" w:rsidRDefault="00940871" w:rsidP="00940871">
      <w:pPr>
        <w:rPr>
          <w:noProof/>
        </w:rPr>
      </w:pPr>
    </w:p>
    <w:p w:rsidR="00940871" w:rsidRDefault="000F0E1A" w:rsidP="00940871">
      <w:pPr>
        <w:rPr>
          <w:rFonts w:ascii="Arial" w:hAnsi="Arial" w:cs="Arial"/>
          <w:b/>
          <w:sz w:val="22"/>
          <w:szCs w:val="22"/>
        </w:rPr>
      </w:pPr>
      <w:r w:rsidRPr="000F0E1A">
        <w:rPr>
          <w:noProof/>
        </w:rPr>
        <w:lastRenderedPageBreak/>
        <w:drawing>
          <wp:inline distT="0" distB="0" distL="0" distR="0" wp14:anchorId="4194E970" wp14:editId="08CC4941">
            <wp:extent cx="9251950" cy="5302287"/>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51950" cy="5302287"/>
                    </a:xfrm>
                    <a:prstGeom prst="rect">
                      <a:avLst/>
                    </a:prstGeom>
                    <a:noFill/>
                    <a:ln>
                      <a:noFill/>
                    </a:ln>
                  </pic:spPr>
                </pic:pic>
              </a:graphicData>
            </a:graphic>
          </wp:inline>
        </w:drawing>
      </w:r>
    </w:p>
    <w:p w:rsidR="00940871" w:rsidRDefault="00940871" w:rsidP="00940871">
      <w:pPr>
        <w:rPr>
          <w:rFonts w:ascii="Arial" w:hAnsi="Arial" w:cs="Arial"/>
          <w:b/>
          <w:sz w:val="22"/>
          <w:szCs w:val="22"/>
        </w:rPr>
      </w:pPr>
    </w:p>
    <w:p w:rsidR="00940871" w:rsidRDefault="00940871" w:rsidP="00940871">
      <w:pPr>
        <w:rPr>
          <w:rFonts w:ascii="Arial" w:hAnsi="Arial" w:cs="Arial"/>
          <w:b/>
          <w:sz w:val="22"/>
          <w:szCs w:val="22"/>
        </w:rPr>
      </w:pPr>
    </w:p>
    <w:p w:rsidR="00940871" w:rsidRDefault="000F0E1A" w:rsidP="00940871">
      <w:pPr>
        <w:rPr>
          <w:rFonts w:ascii="Arial" w:hAnsi="Arial" w:cs="Arial"/>
          <w:b/>
          <w:sz w:val="22"/>
          <w:szCs w:val="22"/>
        </w:rPr>
      </w:pPr>
      <w:r w:rsidRPr="000F0E1A">
        <w:rPr>
          <w:noProof/>
        </w:rPr>
        <w:drawing>
          <wp:inline distT="0" distB="0" distL="0" distR="0" wp14:anchorId="4F156F8E" wp14:editId="046587D6">
            <wp:extent cx="9251950" cy="4243376"/>
            <wp:effectExtent l="0" t="0" r="635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51950" cy="4243376"/>
                    </a:xfrm>
                    <a:prstGeom prst="rect">
                      <a:avLst/>
                    </a:prstGeom>
                    <a:noFill/>
                    <a:ln>
                      <a:noFill/>
                    </a:ln>
                  </pic:spPr>
                </pic:pic>
              </a:graphicData>
            </a:graphic>
          </wp:inline>
        </w:drawing>
      </w:r>
    </w:p>
    <w:p w:rsidR="00895CA8" w:rsidRDefault="00895CA8" w:rsidP="00940871">
      <w:pPr>
        <w:rPr>
          <w:rFonts w:ascii="Arial" w:hAnsi="Arial" w:cs="Arial"/>
          <w:b/>
          <w:sz w:val="22"/>
          <w:szCs w:val="22"/>
        </w:rPr>
      </w:pPr>
    </w:p>
    <w:p w:rsidR="00895CA8" w:rsidRDefault="00895CA8" w:rsidP="00940871">
      <w:pPr>
        <w:rPr>
          <w:rFonts w:ascii="Arial" w:hAnsi="Arial" w:cs="Arial"/>
          <w:b/>
          <w:sz w:val="22"/>
          <w:szCs w:val="22"/>
        </w:rPr>
      </w:pPr>
    </w:p>
    <w:p w:rsidR="00895CA8" w:rsidRDefault="00895CA8" w:rsidP="00940871">
      <w:pPr>
        <w:rPr>
          <w:rFonts w:ascii="Arial" w:hAnsi="Arial" w:cs="Arial"/>
          <w:b/>
          <w:sz w:val="22"/>
          <w:szCs w:val="22"/>
        </w:rPr>
      </w:pPr>
    </w:p>
    <w:p w:rsidR="00895CA8" w:rsidRDefault="00895CA8" w:rsidP="00940871">
      <w:pPr>
        <w:rPr>
          <w:rFonts w:ascii="Arial" w:hAnsi="Arial" w:cs="Arial"/>
          <w:b/>
          <w:sz w:val="22"/>
          <w:szCs w:val="22"/>
        </w:rPr>
      </w:pPr>
    </w:p>
    <w:p w:rsidR="00895CA8" w:rsidRDefault="00895CA8" w:rsidP="00940871">
      <w:pPr>
        <w:rPr>
          <w:rFonts w:ascii="Arial" w:hAnsi="Arial" w:cs="Arial"/>
          <w:b/>
          <w:sz w:val="22"/>
          <w:szCs w:val="22"/>
        </w:rPr>
      </w:pPr>
    </w:p>
    <w:p w:rsidR="00895CA8" w:rsidRDefault="00895CA8" w:rsidP="00940871">
      <w:pPr>
        <w:rPr>
          <w:rFonts w:ascii="Arial" w:hAnsi="Arial" w:cs="Arial"/>
          <w:b/>
          <w:sz w:val="22"/>
          <w:szCs w:val="22"/>
        </w:rPr>
      </w:pPr>
    </w:p>
    <w:p w:rsidR="00895CA8" w:rsidRDefault="00895CA8" w:rsidP="00940871">
      <w:pPr>
        <w:rPr>
          <w:rFonts w:ascii="Arial" w:hAnsi="Arial" w:cs="Arial"/>
          <w:b/>
          <w:sz w:val="22"/>
          <w:szCs w:val="22"/>
        </w:rPr>
      </w:pPr>
    </w:p>
    <w:p w:rsidR="00895CA8" w:rsidRDefault="00895CA8" w:rsidP="00940871">
      <w:pPr>
        <w:rPr>
          <w:rFonts w:ascii="Arial" w:hAnsi="Arial" w:cs="Arial"/>
          <w:b/>
          <w:sz w:val="22"/>
          <w:szCs w:val="22"/>
        </w:rPr>
      </w:pPr>
    </w:p>
    <w:p w:rsidR="00895CA8" w:rsidRDefault="00895CA8" w:rsidP="00940871">
      <w:pPr>
        <w:rPr>
          <w:rFonts w:ascii="Arial" w:hAnsi="Arial" w:cs="Arial"/>
          <w:b/>
          <w:sz w:val="22"/>
          <w:szCs w:val="22"/>
        </w:rPr>
      </w:pPr>
    </w:p>
    <w:p w:rsidR="00895CA8" w:rsidRDefault="000F0E1A" w:rsidP="00940871">
      <w:pPr>
        <w:rPr>
          <w:rFonts w:ascii="Arial" w:hAnsi="Arial" w:cs="Arial"/>
          <w:b/>
          <w:sz w:val="22"/>
          <w:szCs w:val="22"/>
        </w:rPr>
      </w:pPr>
      <w:r w:rsidRPr="000F0E1A">
        <w:rPr>
          <w:noProof/>
        </w:rPr>
        <w:drawing>
          <wp:inline distT="0" distB="0" distL="0" distR="0" wp14:anchorId="14DF70CB" wp14:editId="5AF6E3AD">
            <wp:extent cx="9251950" cy="4282022"/>
            <wp:effectExtent l="0" t="0" r="635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251950" cy="4282022"/>
                    </a:xfrm>
                    <a:prstGeom prst="rect">
                      <a:avLst/>
                    </a:prstGeom>
                    <a:noFill/>
                    <a:ln>
                      <a:noFill/>
                    </a:ln>
                  </pic:spPr>
                </pic:pic>
              </a:graphicData>
            </a:graphic>
          </wp:inline>
        </w:drawing>
      </w:r>
    </w:p>
    <w:p w:rsidR="00F27B7D" w:rsidRDefault="00F27B7D" w:rsidP="00940871">
      <w:pPr>
        <w:rPr>
          <w:rFonts w:ascii="Arial" w:hAnsi="Arial" w:cs="Arial"/>
          <w:b/>
          <w:sz w:val="22"/>
          <w:szCs w:val="22"/>
        </w:rPr>
      </w:pPr>
    </w:p>
    <w:p w:rsidR="00F27B7D" w:rsidRDefault="00F27B7D" w:rsidP="00940871">
      <w:pPr>
        <w:rPr>
          <w:rFonts w:ascii="Arial" w:hAnsi="Arial" w:cs="Arial"/>
          <w:b/>
          <w:sz w:val="22"/>
          <w:szCs w:val="22"/>
        </w:rPr>
      </w:pPr>
    </w:p>
    <w:p w:rsidR="00F27B7D" w:rsidRDefault="00F27B7D" w:rsidP="00940871">
      <w:pPr>
        <w:rPr>
          <w:rFonts w:ascii="Arial" w:hAnsi="Arial" w:cs="Arial"/>
          <w:b/>
          <w:sz w:val="22"/>
          <w:szCs w:val="22"/>
        </w:rPr>
      </w:pPr>
    </w:p>
    <w:p w:rsidR="00F27B7D" w:rsidRDefault="00F27B7D" w:rsidP="00940871">
      <w:pPr>
        <w:rPr>
          <w:rFonts w:ascii="Arial" w:hAnsi="Arial" w:cs="Arial"/>
          <w:b/>
          <w:sz w:val="22"/>
          <w:szCs w:val="22"/>
        </w:rPr>
      </w:pPr>
    </w:p>
    <w:p w:rsidR="00F27B7D" w:rsidRDefault="00F27B7D" w:rsidP="00940871">
      <w:pPr>
        <w:rPr>
          <w:rFonts w:ascii="Arial" w:hAnsi="Arial" w:cs="Arial"/>
          <w:b/>
          <w:sz w:val="22"/>
          <w:szCs w:val="22"/>
        </w:rPr>
      </w:pPr>
    </w:p>
    <w:p w:rsidR="00F27B7D" w:rsidRDefault="00F27B7D" w:rsidP="00F27B7D">
      <w:pPr>
        <w:jc w:val="right"/>
        <w:rPr>
          <w:rFonts w:ascii="Arial" w:hAnsi="Arial" w:cs="Arial"/>
          <w:b/>
          <w:sz w:val="22"/>
          <w:szCs w:val="22"/>
        </w:rPr>
      </w:pPr>
      <w:r w:rsidRPr="00F27B7D">
        <w:rPr>
          <w:rFonts w:ascii="Arial" w:hAnsi="Arial" w:cs="Arial"/>
          <w:b/>
          <w:sz w:val="22"/>
          <w:szCs w:val="22"/>
        </w:rPr>
        <w:lastRenderedPageBreak/>
        <w:t>Appendix 6</w:t>
      </w:r>
    </w:p>
    <w:p w:rsidR="00F27B7D" w:rsidRDefault="00F27B7D" w:rsidP="00F27B7D">
      <w:pPr>
        <w:jc w:val="right"/>
        <w:rPr>
          <w:rFonts w:ascii="Arial" w:hAnsi="Arial" w:cs="Arial"/>
          <w:b/>
          <w:sz w:val="22"/>
          <w:szCs w:val="22"/>
        </w:rPr>
      </w:pPr>
    </w:p>
    <w:p w:rsidR="00F27B7D" w:rsidRDefault="00F27B7D" w:rsidP="00F27B7D">
      <w:pPr>
        <w:rPr>
          <w:rFonts w:ascii="Arial" w:hAnsi="Arial" w:cs="Arial"/>
          <w:b/>
          <w:bCs/>
          <w:sz w:val="22"/>
          <w:szCs w:val="22"/>
        </w:rPr>
      </w:pPr>
      <w:r w:rsidRPr="00F27B7D">
        <w:rPr>
          <w:rFonts w:ascii="Arial" w:hAnsi="Arial" w:cs="Arial"/>
          <w:b/>
          <w:bCs/>
          <w:sz w:val="22"/>
          <w:szCs w:val="22"/>
        </w:rPr>
        <w:t>Prescribing Budget Reconciliation</w:t>
      </w:r>
    </w:p>
    <w:p w:rsidR="00F27B7D" w:rsidRDefault="00F27B7D" w:rsidP="00F27B7D">
      <w:pPr>
        <w:rPr>
          <w:rFonts w:ascii="Arial" w:hAnsi="Arial" w:cs="Arial"/>
          <w:b/>
          <w:bCs/>
          <w:sz w:val="22"/>
          <w:szCs w:val="22"/>
        </w:rPr>
      </w:pPr>
    </w:p>
    <w:p w:rsidR="00F27B7D" w:rsidRPr="00F27B7D" w:rsidRDefault="005A533A" w:rsidP="00F27B7D">
      <w:pPr>
        <w:rPr>
          <w:rFonts w:ascii="Arial" w:hAnsi="Arial" w:cs="Arial"/>
          <w:b/>
          <w:sz w:val="22"/>
          <w:szCs w:val="22"/>
        </w:rPr>
      </w:pPr>
      <w:r w:rsidRPr="005A533A">
        <w:rPr>
          <w:noProof/>
        </w:rPr>
        <w:drawing>
          <wp:inline distT="0" distB="0" distL="0" distR="0">
            <wp:extent cx="4572000" cy="4181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4181475"/>
                    </a:xfrm>
                    <a:prstGeom prst="rect">
                      <a:avLst/>
                    </a:prstGeom>
                    <a:noFill/>
                    <a:ln>
                      <a:noFill/>
                    </a:ln>
                  </pic:spPr>
                </pic:pic>
              </a:graphicData>
            </a:graphic>
          </wp:inline>
        </w:drawing>
      </w:r>
    </w:p>
    <w:sectPr w:rsidR="00F27B7D" w:rsidRPr="00F27B7D" w:rsidSect="00DE5959">
      <w:pgSz w:w="16838" w:h="11906" w:orient="landscape"/>
      <w:pgMar w:top="1134" w:right="1134" w:bottom="1134" w:left="1134" w:header="709"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68" w:rsidRDefault="007C7F68" w:rsidP="004C3834">
      <w:r>
        <w:separator/>
      </w:r>
    </w:p>
  </w:endnote>
  <w:endnote w:type="continuationSeparator" w:id="0">
    <w:p w:rsidR="007C7F68" w:rsidRDefault="007C7F68" w:rsidP="004C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221009"/>
      <w:docPartObj>
        <w:docPartGallery w:val="Page Numbers (Bottom of Page)"/>
        <w:docPartUnique/>
      </w:docPartObj>
    </w:sdtPr>
    <w:sdtEndPr>
      <w:rPr>
        <w:rFonts w:ascii="Arial" w:hAnsi="Arial" w:cs="Arial"/>
        <w:noProof/>
        <w:sz w:val="22"/>
        <w:szCs w:val="22"/>
      </w:rPr>
    </w:sdtEndPr>
    <w:sdtContent>
      <w:p w:rsidR="005C0780" w:rsidRPr="000C392A" w:rsidRDefault="005C0780">
        <w:pPr>
          <w:pStyle w:val="Footer"/>
          <w:jc w:val="right"/>
          <w:rPr>
            <w:rFonts w:ascii="Arial" w:hAnsi="Arial" w:cs="Arial"/>
            <w:sz w:val="22"/>
            <w:szCs w:val="22"/>
          </w:rPr>
        </w:pPr>
        <w:r w:rsidRPr="000C392A">
          <w:rPr>
            <w:rFonts w:ascii="Arial" w:hAnsi="Arial" w:cs="Arial"/>
            <w:sz w:val="22"/>
            <w:szCs w:val="22"/>
          </w:rPr>
          <w:fldChar w:fldCharType="begin"/>
        </w:r>
        <w:r w:rsidRPr="000C392A">
          <w:rPr>
            <w:rFonts w:ascii="Arial" w:hAnsi="Arial" w:cs="Arial"/>
            <w:sz w:val="22"/>
            <w:szCs w:val="22"/>
          </w:rPr>
          <w:instrText xml:space="preserve"> PAGE   \* MERGEFORMAT </w:instrText>
        </w:r>
        <w:r w:rsidRPr="000C392A">
          <w:rPr>
            <w:rFonts w:ascii="Arial" w:hAnsi="Arial" w:cs="Arial"/>
            <w:sz w:val="22"/>
            <w:szCs w:val="22"/>
          </w:rPr>
          <w:fldChar w:fldCharType="separate"/>
        </w:r>
        <w:r w:rsidR="00AC2644">
          <w:rPr>
            <w:rFonts w:ascii="Arial" w:hAnsi="Arial" w:cs="Arial"/>
            <w:noProof/>
            <w:sz w:val="22"/>
            <w:szCs w:val="22"/>
          </w:rPr>
          <w:t>10</w:t>
        </w:r>
        <w:r w:rsidRPr="000C392A">
          <w:rPr>
            <w:rFonts w:ascii="Arial" w:hAnsi="Arial" w:cs="Arial"/>
            <w:noProof/>
            <w:sz w:val="22"/>
            <w:szCs w:val="22"/>
          </w:rPr>
          <w:fldChar w:fldCharType="end"/>
        </w:r>
      </w:p>
    </w:sdtContent>
  </w:sdt>
  <w:p w:rsidR="005C0780" w:rsidRDefault="005C0780" w:rsidP="004C3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68" w:rsidRDefault="007C7F68" w:rsidP="004C3834">
      <w:r>
        <w:separator/>
      </w:r>
    </w:p>
  </w:footnote>
  <w:footnote w:type="continuationSeparator" w:id="0">
    <w:p w:rsidR="007C7F68" w:rsidRDefault="007C7F68" w:rsidP="004C3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780" w:rsidRDefault="005C0780" w:rsidP="00D02483">
    <w:pPr>
      <w:jc w:val="right"/>
    </w:pPr>
    <w:r>
      <w:rPr>
        <w:rFonts w:ascii="Arial" w:hAnsi="Arial"/>
        <w:b/>
        <w:noProof/>
        <w:sz w:val="36"/>
        <w:szCs w:val="28"/>
      </w:rPr>
      <w:drawing>
        <wp:inline distT="0" distB="0" distL="0" distR="0" wp14:anchorId="39630E68" wp14:editId="282C77C3">
          <wp:extent cx="2511184" cy="6572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Sefton CCG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6905" cy="658722"/>
                  </a:xfrm>
                  <a:prstGeom prst="rect">
                    <a:avLst/>
                  </a:prstGeom>
                </pic:spPr>
              </pic:pic>
            </a:graphicData>
          </a:graphic>
        </wp:inline>
      </w:drawing>
    </w:r>
    <w:r>
      <w:rPr>
        <w:rFonts w:ascii="Arial" w:hAnsi="Arial"/>
        <w:b/>
        <w:sz w:val="36"/>
        <w:szCs w:val="28"/>
      </w:rPr>
      <w:t xml:space="preserve"> </w:t>
    </w:r>
  </w:p>
  <w:p w:rsidR="005C0780" w:rsidRDefault="005C0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5E69"/>
    <w:multiLevelType w:val="hybridMultilevel"/>
    <w:tmpl w:val="6164AA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C90709"/>
    <w:multiLevelType w:val="hybridMultilevel"/>
    <w:tmpl w:val="4C7EFA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8D06C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CA2429"/>
    <w:multiLevelType w:val="multilevel"/>
    <w:tmpl w:val="0602DF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0F06A0"/>
    <w:multiLevelType w:val="hybridMultilevel"/>
    <w:tmpl w:val="D1A8BCBE"/>
    <w:lvl w:ilvl="0" w:tplc="F6B89A7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5D728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184C82"/>
    <w:multiLevelType w:val="hybridMultilevel"/>
    <w:tmpl w:val="9EC21266"/>
    <w:lvl w:ilvl="0" w:tplc="2242AE12">
      <w:start w:val="1"/>
      <w:numFmt w:val="decimal"/>
      <w:lvlText w:val="%1."/>
      <w:lvlJc w:val="left"/>
      <w:pPr>
        <w:tabs>
          <w:tab w:val="num" w:pos="720"/>
        </w:tabs>
        <w:ind w:left="720" w:hanging="360"/>
      </w:pPr>
    </w:lvl>
    <w:lvl w:ilvl="1" w:tplc="6FFA5D80" w:tentative="1">
      <w:start w:val="1"/>
      <w:numFmt w:val="decimal"/>
      <w:lvlText w:val="%2."/>
      <w:lvlJc w:val="left"/>
      <w:pPr>
        <w:tabs>
          <w:tab w:val="num" w:pos="1440"/>
        </w:tabs>
        <w:ind w:left="1440" w:hanging="360"/>
      </w:pPr>
    </w:lvl>
    <w:lvl w:ilvl="2" w:tplc="90FC7BEA" w:tentative="1">
      <w:start w:val="1"/>
      <w:numFmt w:val="decimal"/>
      <w:lvlText w:val="%3."/>
      <w:lvlJc w:val="left"/>
      <w:pPr>
        <w:tabs>
          <w:tab w:val="num" w:pos="2160"/>
        </w:tabs>
        <w:ind w:left="2160" w:hanging="360"/>
      </w:pPr>
    </w:lvl>
    <w:lvl w:ilvl="3" w:tplc="40929AF2" w:tentative="1">
      <w:start w:val="1"/>
      <w:numFmt w:val="decimal"/>
      <w:lvlText w:val="%4."/>
      <w:lvlJc w:val="left"/>
      <w:pPr>
        <w:tabs>
          <w:tab w:val="num" w:pos="2880"/>
        </w:tabs>
        <w:ind w:left="2880" w:hanging="360"/>
      </w:pPr>
    </w:lvl>
    <w:lvl w:ilvl="4" w:tplc="CBFE685E" w:tentative="1">
      <w:start w:val="1"/>
      <w:numFmt w:val="decimal"/>
      <w:lvlText w:val="%5."/>
      <w:lvlJc w:val="left"/>
      <w:pPr>
        <w:tabs>
          <w:tab w:val="num" w:pos="3600"/>
        </w:tabs>
        <w:ind w:left="3600" w:hanging="360"/>
      </w:pPr>
    </w:lvl>
    <w:lvl w:ilvl="5" w:tplc="59F2F22C" w:tentative="1">
      <w:start w:val="1"/>
      <w:numFmt w:val="decimal"/>
      <w:lvlText w:val="%6."/>
      <w:lvlJc w:val="left"/>
      <w:pPr>
        <w:tabs>
          <w:tab w:val="num" w:pos="4320"/>
        </w:tabs>
        <w:ind w:left="4320" w:hanging="360"/>
      </w:pPr>
    </w:lvl>
    <w:lvl w:ilvl="6" w:tplc="1F183D4C" w:tentative="1">
      <w:start w:val="1"/>
      <w:numFmt w:val="decimal"/>
      <w:lvlText w:val="%7."/>
      <w:lvlJc w:val="left"/>
      <w:pPr>
        <w:tabs>
          <w:tab w:val="num" w:pos="5040"/>
        </w:tabs>
        <w:ind w:left="5040" w:hanging="360"/>
      </w:pPr>
    </w:lvl>
    <w:lvl w:ilvl="7" w:tplc="D6C6EC8E" w:tentative="1">
      <w:start w:val="1"/>
      <w:numFmt w:val="decimal"/>
      <w:lvlText w:val="%8."/>
      <w:lvlJc w:val="left"/>
      <w:pPr>
        <w:tabs>
          <w:tab w:val="num" w:pos="5760"/>
        </w:tabs>
        <w:ind w:left="5760" w:hanging="360"/>
      </w:pPr>
    </w:lvl>
    <w:lvl w:ilvl="8" w:tplc="92B4985A" w:tentative="1">
      <w:start w:val="1"/>
      <w:numFmt w:val="decimal"/>
      <w:lvlText w:val="%9."/>
      <w:lvlJc w:val="left"/>
      <w:pPr>
        <w:tabs>
          <w:tab w:val="num" w:pos="6480"/>
        </w:tabs>
        <w:ind w:left="6480" w:hanging="360"/>
      </w:pPr>
    </w:lvl>
  </w:abstractNum>
  <w:abstractNum w:abstractNumId="7">
    <w:nsid w:val="431F43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BB36986"/>
    <w:multiLevelType w:val="hybridMultilevel"/>
    <w:tmpl w:val="09A8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D6791A"/>
    <w:multiLevelType w:val="hybridMultilevel"/>
    <w:tmpl w:val="6728CAA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0">
    <w:nsid w:val="5ECF7A35"/>
    <w:multiLevelType w:val="hybridMultilevel"/>
    <w:tmpl w:val="323C7280"/>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nsid w:val="63852870"/>
    <w:multiLevelType w:val="hybridMultilevel"/>
    <w:tmpl w:val="02BC265A"/>
    <w:lvl w:ilvl="0" w:tplc="C7F82576">
      <w:start w:val="1"/>
      <w:numFmt w:val="decimal"/>
      <w:lvlText w:val="%1."/>
      <w:lvlJc w:val="left"/>
      <w:pPr>
        <w:tabs>
          <w:tab w:val="num" w:pos="720"/>
        </w:tabs>
        <w:ind w:left="720" w:hanging="360"/>
      </w:pPr>
    </w:lvl>
    <w:lvl w:ilvl="1" w:tplc="66763DFA" w:tentative="1">
      <w:start w:val="1"/>
      <w:numFmt w:val="decimal"/>
      <w:lvlText w:val="%2."/>
      <w:lvlJc w:val="left"/>
      <w:pPr>
        <w:tabs>
          <w:tab w:val="num" w:pos="1440"/>
        </w:tabs>
        <w:ind w:left="1440" w:hanging="360"/>
      </w:pPr>
    </w:lvl>
    <w:lvl w:ilvl="2" w:tplc="0D7EFD7E" w:tentative="1">
      <w:start w:val="1"/>
      <w:numFmt w:val="decimal"/>
      <w:lvlText w:val="%3."/>
      <w:lvlJc w:val="left"/>
      <w:pPr>
        <w:tabs>
          <w:tab w:val="num" w:pos="2160"/>
        </w:tabs>
        <w:ind w:left="2160" w:hanging="360"/>
      </w:pPr>
    </w:lvl>
    <w:lvl w:ilvl="3" w:tplc="858CB91E" w:tentative="1">
      <w:start w:val="1"/>
      <w:numFmt w:val="decimal"/>
      <w:lvlText w:val="%4."/>
      <w:lvlJc w:val="left"/>
      <w:pPr>
        <w:tabs>
          <w:tab w:val="num" w:pos="2880"/>
        </w:tabs>
        <w:ind w:left="2880" w:hanging="360"/>
      </w:pPr>
    </w:lvl>
    <w:lvl w:ilvl="4" w:tplc="54FCB1C0" w:tentative="1">
      <w:start w:val="1"/>
      <w:numFmt w:val="decimal"/>
      <w:lvlText w:val="%5."/>
      <w:lvlJc w:val="left"/>
      <w:pPr>
        <w:tabs>
          <w:tab w:val="num" w:pos="3600"/>
        </w:tabs>
        <w:ind w:left="3600" w:hanging="360"/>
      </w:pPr>
    </w:lvl>
    <w:lvl w:ilvl="5" w:tplc="AB7EA87E" w:tentative="1">
      <w:start w:val="1"/>
      <w:numFmt w:val="decimal"/>
      <w:lvlText w:val="%6."/>
      <w:lvlJc w:val="left"/>
      <w:pPr>
        <w:tabs>
          <w:tab w:val="num" w:pos="4320"/>
        </w:tabs>
        <w:ind w:left="4320" w:hanging="360"/>
      </w:pPr>
    </w:lvl>
    <w:lvl w:ilvl="6" w:tplc="6DBEA50C" w:tentative="1">
      <w:start w:val="1"/>
      <w:numFmt w:val="decimal"/>
      <w:lvlText w:val="%7."/>
      <w:lvlJc w:val="left"/>
      <w:pPr>
        <w:tabs>
          <w:tab w:val="num" w:pos="5040"/>
        </w:tabs>
        <w:ind w:left="5040" w:hanging="360"/>
      </w:pPr>
    </w:lvl>
    <w:lvl w:ilvl="7" w:tplc="257EC256" w:tentative="1">
      <w:start w:val="1"/>
      <w:numFmt w:val="decimal"/>
      <w:lvlText w:val="%8."/>
      <w:lvlJc w:val="left"/>
      <w:pPr>
        <w:tabs>
          <w:tab w:val="num" w:pos="5760"/>
        </w:tabs>
        <w:ind w:left="5760" w:hanging="360"/>
      </w:pPr>
    </w:lvl>
    <w:lvl w:ilvl="8" w:tplc="DA021AAE" w:tentative="1">
      <w:start w:val="1"/>
      <w:numFmt w:val="decimal"/>
      <w:lvlText w:val="%9."/>
      <w:lvlJc w:val="left"/>
      <w:pPr>
        <w:tabs>
          <w:tab w:val="num" w:pos="6480"/>
        </w:tabs>
        <w:ind w:left="6480" w:hanging="360"/>
      </w:pPr>
    </w:lvl>
  </w:abstractNum>
  <w:abstractNum w:abstractNumId="12">
    <w:nsid w:val="6F137D95"/>
    <w:multiLevelType w:val="hybridMultilevel"/>
    <w:tmpl w:val="B3485CF4"/>
    <w:lvl w:ilvl="0" w:tplc="08090001">
      <w:start w:val="1"/>
      <w:numFmt w:val="bullet"/>
      <w:lvlText w:val=""/>
      <w:lvlJc w:val="left"/>
      <w:pPr>
        <w:ind w:left="916" w:hanging="360"/>
      </w:pPr>
      <w:rPr>
        <w:rFonts w:ascii="Symbol" w:hAnsi="Symbol" w:hint="default"/>
      </w:rPr>
    </w:lvl>
    <w:lvl w:ilvl="1" w:tplc="08090003">
      <w:start w:val="1"/>
      <w:numFmt w:val="bullet"/>
      <w:lvlText w:val="o"/>
      <w:lvlJc w:val="left"/>
      <w:pPr>
        <w:ind w:left="1636" w:hanging="360"/>
      </w:pPr>
      <w:rPr>
        <w:rFonts w:ascii="Courier New" w:hAnsi="Courier New" w:cs="Courier New" w:hint="default"/>
      </w:rPr>
    </w:lvl>
    <w:lvl w:ilvl="2" w:tplc="08090005">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3">
    <w:nsid w:val="731E2547"/>
    <w:multiLevelType w:val="hybridMultilevel"/>
    <w:tmpl w:val="980A3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EBF47F8"/>
    <w:multiLevelType w:val="hybridMultilevel"/>
    <w:tmpl w:val="3886D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F4A1836"/>
    <w:multiLevelType w:val="hybridMultilevel"/>
    <w:tmpl w:val="2AD2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4"/>
  </w:num>
  <w:num w:numId="6">
    <w:abstractNumId w:val="2"/>
  </w:num>
  <w:num w:numId="7">
    <w:abstractNumId w:val="5"/>
  </w:num>
  <w:num w:numId="8">
    <w:abstractNumId w:val="0"/>
  </w:num>
  <w:num w:numId="9">
    <w:abstractNumId w:val="1"/>
  </w:num>
  <w:num w:numId="10">
    <w:abstractNumId w:val="11"/>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12"/>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E4"/>
    <w:rsid w:val="0000206D"/>
    <w:rsid w:val="00002B99"/>
    <w:rsid w:val="000076B3"/>
    <w:rsid w:val="00011379"/>
    <w:rsid w:val="00012C7E"/>
    <w:rsid w:val="00014313"/>
    <w:rsid w:val="00024762"/>
    <w:rsid w:val="000324CA"/>
    <w:rsid w:val="00035792"/>
    <w:rsid w:val="00035C40"/>
    <w:rsid w:val="00037777"/>
    <w:rsid w:val="0004133A"/>
    <w:rsid w:val="00045153"/>
    <w:rsid w:val="000453CB"/>
    <w:rsid w:val="00053400"/>
    <w:rsid w:val="00060ACE"/>
    <w:rsid w:val="00071331"/>
    <w:rsid w:val="00073DDD"/>
    <w:rsid w:val="00081574"/>
    <w:rsid w:val="000819F5"/>
    <w:rsid w:val="00091F8D"/>
    <w:rsid w:val="00095C50"/>
    <w:rsid w:val="000968D0"/>
    <w:rsid w:val="000A101C"/>
    <w:rsid w:val="000A2916"/>
    <w:rsid w:val="000A3CAD"/>
    <w:rsid w:val="000A3FDE"/>
    <w:rsid w:val="000B10CA"/>
    <w:rsid w:val="000B6DC7"/>
    <w:rsid w:val="000C0EFB"/>
    <w:rsid w:val="000C49CF"/>
    <w:rsid w:val="000E5D98"/>
    <w:rsid w:val="000E653D"/>
    <w:rsid w:val="000E7795"/>
    <w:rsid w:val="000F0BDF"/>
    <w:rsid w:val="000F0E1A"/>
    <w:rsid w:val="0010003C"/>
    <w:rsid w:val="001029FD"/>
    <w:rsid w:val="00112D9C"/>
    <w:rsid w:val="00113B27"/>
    <w:rsid w:val="001152AB"/>
    <w:rsid w:val="00120C70"/>
    <w:rsid w:val="0012613B"/>
    <w:rsid w:val="00134DE3"/>
    <w:rsid w:val="00147599"/>
    <w:rsid w:val="00147C9C"/>
    <w:rsid w:val="00152D23"/>
    <w:rsid w:val="00154AB4"/>
    <w:rsid w:val="00156609"/>
    <w:rsid w:val="00160BE8"/>
    <w:rsid w:val="001629C7"/>
    <w:rsid w:val="00170D1C"/>
    <w:rsid w:val="00183110"/>
    <w:rsid w:val="001A221E"/>
    <w:rsid w:val="001A278F"/>
    <w:rsid w:val="001A583F"/>
    <w:rsid w:val="001A64E4"/>
    <w:rsid w:val="001B4189"/>
    <w:rsid w:val="001B7AB3"/>
    <w:rsid w:val="001C0D7F"/>
    <w:rsid w:val="001C6619"/>
    <w:rsid w:val="001C6AD6"/>
    <w:rsid w:val="001D198F"/>
    <w:rsid w:val="001D21BA"/>
    <w:rsid w:val="001D24E1"/>
    <w:rsid w:val="001D2F65"/>
    <w:rsid w:val="001D54EA"/>
    <w:rsid w:val="001E00C1"/>
    <w:rsid w:val="001E045D"/>
    <w:rsid w:val="001E35E4"/>
    <w:rsid w:val="001E5C20"/>
    <w:rsid w:val="001F4C9F"/>
    <w:rsid w:val="00205108"/>
    <w:rsid w:val="00215934"/>
    <w:rsid w:val="00221C0F"/>
    <w:rsid w:val="00224A7A"/>
    <w:rsid w:val="0025012F"/>
    <w:rsid w:val="002556FE"/>
    <w:rsid w:val="0025692C"/>
    <w:rsid w:val="002651AA"/>
    <w:rsid w:val="00266265"/>
    <w:rsid w:val="00267D6D"/>
    <w:rsid w:val="002747FF"/>
    <w:rsid w:val="00274C4E"/>
    <w:rsid w:val="0027645B"/>
    <w:rsid w:val="00280BBD"/>
    <w:rsid w:val="002815F2"/>
    <w:rsid w:val="00283BF9"/>
    <w:rsid w:val="00285D66"/>
    <w:rsid w:val="00286541"/>
    <w:rsid w:val="00286994"/>
    <w:rsid w:val="00294103"/>
    <w:rsid w:val="00297502"/>
    <w:rsid w:val="002A1789"/>
    <w:rsid w:val="002A55E3"/>
    <w:rsid w:val="002A55FE"/>
    <w:rsid w:val="002B2834"/>
    <w:rsid w:val="002B6D5E"/>
    <w:rsid w:val="002C184E"/>
    <w:rsid w:val="002C4813"/>
    <w:rsid w:val="002C7266"/>
    <w:rsid w:val="002D0CEC"/>
    <w:rsid w:val="002E6DD6"/>
    <w:rsid w:val="002F26AB"/>
    <w:rsid w:val="003005C0"/>
    <w:rsid w:val="00303735"/>
    <w:rsid w:val="00305512"/>
    <w:rsid w:val="00310A5E"/>
    <w:rsid w:val="00317E53"/>
    <w:rsid w:val="0032023F"/>
    <w:rsid w:val="00326F96"/>
    <w:rsid w:val="00332F71"/>
    <w:rsid w:val="003449CC"/>
    <w:rsid w:val="00345761"/>
    <w:rsid w:val="00346616"/>
    <w:rsid w:val="00347E16"/>
    <w:rsid w:val="00352317"/>
    <w:rsid w:val="00356C7D"/>
    <w:rsid w:val="0037314D"/>
    <w:rsid w:val="00373A1D"/>
    <w:rsid w:val="003750A9"/>
    <w:rsid w:val="00381920"/>
    <w:rsid w:val="00382291"/>
    <w:rsid w:val="00382B3C"/>
    <w:rsid w:val="0038353E"/>
    <w:rsid w:val="00386E7F"/>
    <w:rsid w:val="00387730"/>
    <w:rsid w:val="00396787"/>
    <w:rsid w:val="003A6414"/>
    <w:rsid w:val="003B1AD6"/>
    <w:rsid w:val="003B5C07"/>
    <w:rsid w:val="003B778A"/>
    <w:rsid w:val="003C46AD"/>
    <w:rsid w:val="003C6A5F"/>
    <w:rsid w:val="003C719E"/>
    <w:rsid w:val="003E4208"/>
    <w:rsid w:val="003E7A0E"/>
    <w:rsid w:val="003F0A44"/>
    <w:rsid w:val="003F2457"/>
    <w:rsid w:val="003F4A6E"/>
    <w:rsid w:val="003F5B47"/>
    <w:rsid w:val="004074B3"/>
    <w:rsid w:val="00420247"/>
    <w:rsid w:val="00423353"/>
    <w:rsid w:val="00430D57"/>
    <w:rsid w:val="0043281D"/>
    <w:rsid w:val="00433D7C"/>
    <w:rsid w:val="00434532"/>
    <w:rsid w:val="00453A89"/>
    <w:rsid w:val="0045567D"/>
    <w:rsid w:val="004637C2"/>
    <w:rsid w:val="00463BC8"/>
    <w:rsid w:val="00466946"/>
    <w:rsid w:val="0048452D"/>
    <w:rsid w:val="004930D9"/>
    <w:rsid w:val="004A4261"/>
    <w:rsid w:val="004B459D"/>
    <w:rsid w:val="004C265A"/>
    <w:rsid w:val="004C3834"/>
    <w:rsid w:val="004C7CC8"/>
    <w:rsid w:val="004D5A24"/>
    <w:rsid w:val="004D7779"/>
    <w:rsid w:val="004E0908"/>
    <w:rsid w:val="004E615A"/>
    <w:rsid w:val="004E6C6A"/>
    <w:rsid w:val="004F1D8B"/>
    <w:rsid w:val="00501574"/>
    <w:rsid w:val="00510CF6"/>
    <w:rsid w:val="00537D2E"/>
    <w:rsid w:val="005402A6"/>
    <w:rsid w:val="00540FC1"/>
    <w:rsid w:val="00545FBA"/>
    <w:rsid w:val="0055050D"/>
    <w:rsid w:val="00560EB8"/>
    <w:rsid w:val="00570BB4"/>
    <w:rsid w:val="005716E6"/>
    <w:rsid w:val="00575B06"/>
    <w:rsid w:val="0057668B"/>
    <w:rsid w:val="0058142E"/>
    <w:rsid w:val="005A2110"/>
    <w:rsid w:val="005A533A"/>
    <w:rsid w:val="005B55A6"/>
    <w:rsid w:val="005B6A53"/>
    <w:rsid w:val="005C0780"/>
    <w:rsid w:val="005C0DBA"/>
    <w:rsid w:val="005C4F50"/>
    <w:rsid w:val="005C7523"/>
    <w:rsid w:val="005D0387"/>
    <w:rsid w:val="005E13DD"/>
    <w:rsid w:val="005E70B7"/>
    <w:rsid w:val="005E7538"/>
    <w:rsid w:val="005E7ABA"/>
    <w:rsid w:val="005F2C95"/>
    <w:rsid w:val="005F4367"/>
    <w:rsid w:val="005F44A4"/>
    <w:rsid w:val="0060382A"/>
    <w:rsid w:val="00604C8C"/>
    <w:rsid w:val="00606916"/>
    <w:rsid w:val="00607167"/>
    <w:rsid w:val="00621CCB"/>
    <w:rsid w:val="0062369A"/>
    <w:rsid w:val="00632B29"/>
    <w:rsid w:val="00632D9D"/>
    <w:rsid w:val="00652749"/>
    <w:rsid w:val="0065294B"/>
    <w:rsid w:val="006602A7"/>
    <w:rsid w:val="006630A0"/>
    <w:rsid w:val="00680EF6"/>
    <w:rsid w:val="006861F9"/>
    <w:rsid w:val="006945CC"/>
    <w:rsid w:val="00695A51"/>
    <w:rsid w:val="006A262E"/>
    <w:rsid w:val="006A7963"/>
    <w:rsid w:val="006C57FA"/>
    <w:rsid w:val="006C6225"/>
    <w:rsid w:val="006D1835"/>
    <w:rsid w:val="006D4E6A"/>
    <w:rsid w:val="006E3549"/>
    <w:rsid w:val="006F090B"/>
    <w:rsid w:val="006F0C9F"/>
    <w:rsid w:val="006F5104"/>
    <w:rsid w:val="00701013"/>
    <w:rsid w:val="0070198E"/>
    <w:rsid w:val="00703421"/>
    <w:rsid w:val="007047E3"/>
    <w:rsid w:val="00704DE4"/>
    <w:rsid w:val="00707447"/>
    <w:rsid w:val="00720CB9"/>
    <w:rsid w:val="00733ECF"/>
    <w:rsid w:val="0073423B"/>
    <w:rsid w:val="007430D1"/>
    <w:rsid w:val="00744889"/>
    <w:rsid w:val="007522A0"/>
    <w:rsid w:val="007566A2"/>
    <w:rsid w:val="00763F73"/>
    <w:rsid w:val="00764934"/>
    <w:rsid w:val="00764A07"/>
    <w:rsid w:val="00774506"/>
    <w:rsid w:val="00775FC2"/>
    <w:rsid w:val="00776919"/>
    <w:rsid w:val="007771B3"/>
    <w:rsid w:val="007811ED"/>
    <w:rsid w:val="00781388"/>
    <w:rsid w:val="00784FED"/>
    <w:rsid w:val="00790FC0"/>
    <w:rsid w:val="007A0CCA"/>
    <w:rsid w:val="007A6C2D"/>
    <w:rsid w:val="007B368B"/>
    <w:rsid w:val="007C2E80"/>
    <w:rsid w:val="007C45A2"/>
    <w:rsid w:val="007C7EF6"/>
    <w:rsid w:val="007C7F68"/>
    <w:rsid w:val="007D0908"/>
    <w:rsid w:val="007D133E"/>
    <w:rsid w:val="007D6460"/>
    <w:rsid w:val="007E3A99"/>
    <w:rsid w:val="007E5A92"/>
    <w:rsid w:val="007E65AD"/>
    <w:rsid w:val="007E716F"/>
    <w:rsid w:val="007F0FF6"/>
    <w:rsid w:val="007F4871"/>
    <w:rsid w:val="007F7E45"/>
    <w:rsid w:val="008064E0"/>
    <w:rsid w:val="00806D4B"/>
    <w:rsid w:val="00823777"/>
    <w:rsid w:val="00823C5F"/>
    <w:rsid w:val="008300EC"/>
    <w:rsid w:val="00833D62"/>
    <w:rsid w:val="008420AD"/>
    <w:rsid w:val="00842D9D"/>
    <w:rsid w:val="0084700C"/>
    <w:rsid w:val="00852DA2"/>
    <w:rsid w:val="00853F7D"/>
    <w:rsid w:val="0086220E"/>
    <w:rsid w:val="00862236"/>
    <w:rsid w:val="008628D4"/>
    <w:rsid w:val="00863186"/>
    <w:rsid w:val="008668F2"/>
    <w:rsid w:val="00871EC9"/>
    <w:rsid w:val="00872647"/>
    <w:rsid w:val="00877940"/>
    <w:rsid w:val="00883CAD"/>
    <w:rsid w:val="00886336"/>
    <w:rsid w:val="00891E04"/>
    <w:rsid w:val="00895AC1"/>
    <w:rsid w:val="00895CA8"/>
    <w:rsid w:val="0089651C"/>
    <w:rsid w:val="008B0F10"/>
    <w:rsid w:val="008B3106"/>
    <w:rsid w:val="008B7385"/>
    <w:rsid w:val="008C3C6A"/>
    <w:rsid w:val="008C583D"/>
    <w:rsid w:val="008D379C"/>
    <w:rsid w:val="008D59AD"/>
    <w:rsid w:val="008E1102"/>
    <w:rsid w:val="008E42A5"/>
    <w:rsid w:val="008E537B"/>
    <w:rsid w:val="008F272A"/>
    <w:rsid w:val="008F439D"/>
    <w:rsid w:val="008F7FDE"/>
    <w:rsid w:val="00912A8B"/>
    <w:rsid w:val="009231AF"/>
    <w:rsid w:val="0092476A"/>
    <w:rsid w:val="00940871"/>
    <w:rsid w:val="00942CBE"/>
    <w:rsid w:val="00943102"/>
    <w:rsid w:val="009453D5"/>
    <w:rsid w:val="009471DD"/>
    <w:rsid w:val="00952BD3"/>
    <w:rsid w:val="009568E4"/>
    <w:rsid w:val="009635E2"/>
    <w:rsid w:val="0096507D"/>
    <w:rsid w:val="00965D47"/>
    <w:rsid w:val="00967A5C"/>
    <w:rsid w:val="00970FC6"/>
    <w:rsid w:val="009716AE"/>
    <w:rsid w:val="0097454B"/>
    <w:rsid w:val="009745C9"/>
    <w:rsid w:val="009804AE"/>
    <w:rsid w:val="00982762"/>
    <w:rsid w:val="00985B82"/>
    <w:rsid w:val="0098731A"/>
    <w:rsid w:val="0099400F"/>
    <w:rsid w:val="00994366"/>
    <w:rsid w:val="009A1185"/>
    <w:rsid w:val="009B33A2"/>
    <w:rsid w:val="009B73AB"/>
    <w:rsid w:val="009D01EB"/>
    <w:rsid w:val="009D1E83"/>
    <w:rsid w:val="009E1A31"/>
    <w:rsid w:val="009E534B"/>
    <w:rsid w:val="009E745E"/>
    <w:rsid w:val="009E7C88"/>
    <w:rsid w:val="009F4833"/>
    <w:rsid w:val="00A01074"/>
    <w:rsid w:val="00A0700B"/>
    <w:rsid w:val="00A16822"/>
    <w:rsid w:val="00A17BE4"/>
    <w:rsid w:val="00A32366"/>
    <w:rsid w:val="00A514A4"/>
    <w:rsid w:val="00A515FB"/>
    <w:rsid w:val="00A5562E"/>
    <w:rsid w:val="00A6404C"/>
    <w:rsid w:val="00A64ACE"/>
    <w:rsid w:val="00A6567E"/>
    <w:rsid w:val="00A65D5F"/>
    <w:rsid w:val="00A70E95"/>
    <w:rsid w:val="00A7796F"/>
    <w:rsid w:val="00A846D6"/>
    <w:rsid w:val="00AA60FE"/>
    <w:rsid w:val="00AA69FC"/>
    <w:rsid w:val="00AB352C"/>
    <w:rsid w:val="00AC2644"/>
    <w:rsid w:val="00AD38C8"/>
    <w:rsid w:val="00AE4D89"/>
    <w:rsid w:val="00AE678B"/>
    <w:rsid w:val="00AE7649"/>
    <w:rsid w:val="00B0000B"/>
    <w:rsid w:val="00B03A4B"/>
    <w:rsid w:val="00B044E6"/>
    <w:rsid w:val="00B13C07"/>
    <w:rsid w:val="00B17CE2"/>
    <w:rsid w:val="00B20E8E"/>
    <w:rsid w:val="00B2107A"/>
    <w:rsid w:val="00B265CC"/>
    <w:rsid w:val="00B31340"/>
    <w:rsid w:val="00B31587"/>
    <w:rsid w:val="00B46DA4"/>
    <w:rsid w:val="00B53DEF"/>
    <w:rsid w:val="00B65B58"/>
    <w:rsid w:val="00B73E70"/>
    <w:rsid w:val="00B83394"/>
    <w:rsid w:val="00B90CF1"/>
    <w:rsid w:val="00B92530"/>
    <w:rsid w:val="00B92992"/>
    <w:rsid w:val="00B93736"/>
    <w:rsid w:val="00BA1485"/>
    <w:rsid w:val="00BA220C"/>
    <w:rsid w:val="00BA402D"/>
    <w:rsid w:val="00BA529C"/>
    <w:rsid w:val="00BA556E"/>
    <w:rsid w:val="00BA66E6"/>
    <w:rsid w:val="00BA6B92"/>
    <w:rsid w:val="00BB7C3B"/>
    <w:rsid w:val="00BC4CE9"/>
    <w:rsid w:val="00BC56FA"/>
    <w:rsid w:val="00BD17AF"/>
    <w:rsid w:val="00BD2F03"/>
    <w:rsid w:val="00BD41F8"/>
    <w:rsid w:val="00BD52E3"/>
    <w:rsid w:val="00BE0FAC"/>
    <w:rsid w:val="00BE2F23"/>
    <w:rsid w:val="00BE387A"/>
    <w:rsid w:val="00BE5DB8"/>
    <w:rsid w:val="00BF1DDD"/>
    <w:rsid w:val="00BF26E4"/>
    <w:rsid w:val="00BF6654"/>
    <w:rsid w:val="00C13699"/>
    <w:rsid w:val="00C231B1"/>
    <w:rsid w:val="00C313DA"/>
    <w:rsid w:val="00C32F46"/>
    <w:rsid w:val="00C331B5"/>
    <w:rsid w:val="00C33C45"/>
    <w:rsid w:val="00C37814"/>
    <w:rsid w:val="00C4007D"/>
    <w:rsid w:val="00C467D8"/>
    <w:rsid w:val="00C518F4"/>
    <w:rsid w:val="00C57274"/>
    <w:rsid w:val="00C62E55"/>
    <w:rsid w:val="00C64629"/>
    <w:rsid w:val="00C74BB9"/>
    <w:rsid w:val="00C8314D"/>
    <w:rsid w:val="00C95C36"/>
    <w:rsid w:val="00C97B9A"/>
    <w:rsid w:val="00CA60BE"/>
    <w:rsid w:val="00CA6B17"/>
    <w:rsid w:val="00CB2FB5"/>
    <w:rsid w:val="00CB32A2"/>
    <w:rsid w:val="00CC0C93"/>
    <w:rsid w:val="00CD5484"/>
    <w:rsid w:val="00CF2FDE"/>
    <w:rsid w:val="00D02483"/>
    <w:rsid w:val="00D10A7F"/>
    <w:rsid w:val="00D121C6"/>
    <w:rsid w:val="00D15C61"/>
    <w:rsid w:val="00D23673"/>
    <w:rsid w:val="00D244BE"/>
    <w:rsid w:val="00D2528C"/>
    <w:rsid w:val="00D27651"/>
    <w:rsid w:val="00D27F37"/>
    <w:rsid w:val="00D33464"/>
    <w:rsid w:val="00D36CC8"/>
    <w:rsid w:val="00D429DC"/>
    <w:rsid w:val="00D462F5"/>
    <w:rsid w:val="00D467F5"/>
    <w:rsid w:val="00D51EF4"/>
    <w:rsid w:val="00D55D3C"/>
    <w:rsid w:val="00D5759C"/>
    <w:rsid w:val="00D60A50"/>
    <w:rsid w:val="00D60EFD"/>
    <w:rsid w:val="00D6234C"/>
    <w:rsid w:val="00D73F57"/>
    <w:rsid w:val="00D84EAB"/>
    <w:rsid w:val="00D94B18"/>
    <w:rsid w:val="00D9540F"/>
    <w:rsid w:val="00DA153A"/>
    <w:rsid w:val="00DC0414"/>
    <w:rsid w:val="00DC095A"/>
    <w:rsid w:val="00DD2C35"/>
    <w:rsid w:val="00DD370D"/>
    <w:rsid w:val="00DE0F35"/>
    <w:rsid w:val="00DE2713"/>
    <w:rsid w:val="00DE5959"/>
    <w:rsid w:val="00DF3656"/>
    <w:rsid w:val="00DF704E"/>
    <w:rsid w:val="00DF7E91"/>
    <w:rsid w:val="00E0009B"/>
    <w:rsid w:val="00E0236A"/>
    <w:rsid w:val="00E0267E"/>
    <w:rsid w:val="00E0366D"/>
    <w:rsid w:val="00E0589D"/>
    <w:rsid w:val="00E05F1E"/>
    <w:rsid w:val="00E10593"/>
    <w:rsid w:val="00E108D1"/>
    <w:rsid w:val="00E15DAB"/>
    <w:rsid w:val="00E16E4D"/>
    <w:rsid w:val="00E2374D"/>
    <w:rsid w:val="00E27400"/>
    <w:rsid w:val="00E34117"/>
    <w:rsid w:val="00E43AFE"/>
    <w:rsid w:val="00E44BAD"/>
    <w:rsid w:val="00E44E4F"/>
    <w:rsid w:val="00E55854"/>
    <w:rsid w:val="00E57C47"/>
    <w:rsid w:val="00E62137"/>
    <w:rsid w:val="00E66E0B"/>
    <w:rsid w:val="00E700CF"/>
    <w:rsid w:val="00E73641"/>
    <w:rsid w:val="00E73730"/>
    <w:rsid w:val="00E758BB"/>
    <w:rsid w:val="00E76F7B"/>
    <w:rsid w:val="00E93A7F"/>
    <w:rsid w:val="00E94EF7"/>
    <w:rsid w:val="00E95E73"/>
    <w:rsid w:val="00E9766B"/>
    <w:rsid w:val="00EA026D"/>
    <w:rsid w:val="00EA2291"/>
    <w:rsid w:val="00EB57F4"/>
    <w:rsid w:val="00EC53BC"/>
    <w:rsid w:val="00EC603B"/>
    <w:rsid w:val="00ED0CF0"/>
    <w:rsid w:val="00ED131E"/>
    <w:rsid w:val="00ED5E50"/>
    <w:rsid w:val="00EE6CEE"/>
    <w:rsid w:val="00EF0962"/>
    <w:rsid w:val="00EF1E29"/>
    <w:rsid w:val="00F113C6"/>
    <w:rsid w:val="00F27466"/>
    <w:rsid w:val="00F277CC"/>
    <w:rsid w:val="00F27B7D"/>
    <w:rsid w:val="00F3152A"/>
    <w:rsid w:val="00F35F8C"/>
    <w:rsid w:val="00F45594"/>
    <w:rsid w:val="00F51C21"/>
    <w:rsid w:val="00F55BC1"/>
    <w:rsid w:val="00F56947"/>
    <w:rsid w:val="00F60DB1"/>
    <w:rsid w:val="00F61A4D"/>
    <w:rsid w:val="00F620F9"/>
    <w:rsid w:val="00F64012"/>
    <w:rsid w:val="00F66DC8"/>
    <w:rsid w:val="00F77F38"/>
    <w:rsid w:val="00F8593A"/>
    <w:rsid w:val="00F85A44"/>
    <w:rsid w:val="00F921C2"/>
    <w:rsid w:val="00F93E4B"/>
    <w:rsid w:val="00F948B6"/>
    <w:rsid w:val="00FA158D"/>
    <w:rsid w:val="00FA1FF2"/>
    <w:rsid w:val="00FA29B0"/>
    <w:rsid w:val="00FA539F"/>
    <w:rsid w:val="00FA7126"/>
    <w:rsid w:val="00FB2224"/>
    <w:rsid w:val="00FB2550"/>
    <w:rsid w:val="00FB6EB9"/>
    <w:rsid w:val="00FB7970"/>
    <w:rsid w:val="00FD4BB7"/>
    <w:rsid w:val="00FE017C"/>
    <w:rsid w:val="00FE1046"/>
    <w:rsid w:val="00FE676C"/>
    <w:rsid w:val="00FF1F44"/>
    <w:rsid w:val="00FF5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1574"/>
    <w:rPr>
      <w:color w:val="0000FF"/>
      <w:u w:val="single"/>
    </w:rPr>
  </w:style>
  <w:style w:type="paragraph" w:styleId="Header">
    <w:name w:val="header"/>
    <w:basedOn w:val="Normal"/>
    <w:link w:val="HeaderChar"/>
    <w:uiPriority w:val="99"/>
    <w:rsid w:val="004C3834"/>
    <w:pPr>
      <w:tabs>
        <w:tab w:val="center" w:pos="4513"/>
        <w:tab w:val="right" w:pos="9026"/>
      </w:tabs>
    </w:pPr>
  </w:style>
  <w:style w:type="character" w:customStyle="1" w:styleId="HeaderChar">
    <w:name w:val="Header Char"/>
    <w:link w:val="Header"/>
    <w:uiPriority w:val="99"/>
    <w:rsid w:val="004C3834"/>
    <w:rPr>
      <w:sz w:val="24"/>
      <w:szCs w:val="24"/>
    </w:rPr>
  </w:style>
  <w:style w:type="paragraph" w:styleId="Footer">
    <w:name w:val="footer"/>
    <w:basedOn w:val="Normal"/>
    <w:link w:val="FooterChar"/>
    <w:uiPriority w:val="99"/>
    <w:rsid w:val="004C3834"/>
    <w:pPr>
      <w:tabs>
        <w:tab w:val="center" w:pos="4513"/>
        <w:tab w:val="right" w:pos="9026"/>
      </w:tabs>
    </w:pPr>
  </w:style>
  <w:style w:type="character" w:customStyle="1" w:styleId="FooterChar">
    <w:name w:val="Footer Char"/>
    <w:link w:val="Footer"/>
    <w:uiPriority w:val="99"/>
    <w:rsid w:val="004C3834"/>
    <w:rPr>
      <w:sz w:val="24"/>
      <w:szCs w:val="24"/>
    </w:rPr>
  </w:style>
  <w:style w:type="paragraph" w:styleId="BalloonText">
    <w:name w:val="Balloon Text"/>
    <w:basedOn w:val="Normal"/>
    <w:link w:val="BalloonTextChar"/>
    <w:rsid w:val="004C3834"/>
    <w:rPr>
      <w:rFonts w:ascii="Tahoma" w:hAnsi="Tahoma" w:cs="Tahoma"/>
      <w:sz w:val="16"/>
      <w:szCs w:val="16"/>
    </w:rPr>
  </w:style>
  <w:style w:type="character" w:customStyle="1" w:styleId="BalloonTextChar">
    <w:name w:val="Balloon Text Char"/>
    <w:link w:val="BalloonText"/>
    <w:rsid w:val="004C3834"/>
    <w:rPr>
      <w:rFonts w:ascii="Tahoma" w:hAnsi="Tahoma" w:cs="Tahoma"/>
      <w:sz w:val="16"/>
      <w:szCs w:val="16"/>
    </w:rPr>
  </w:style>
  <w:style w:type="character" w:styleId="CommentReference">
    <w:name w:val="annotation reference"/>
    <w:basedOn w:val="DefaultParagraphFont"/>
    <w:rsid w:val="00221C0F"/>
    <w:rPr>
      <w:sz w:val="16"/>
      <w:szCs w:val="16"/>
    </w:rPr>
  </w:style>
  <w:style w:type="paragraph" w:styleId="CommentText">
    <w:name w:val="annotation text"/>
    <w:basedOn w:val="Normal"/>
    <w:link w:val="CommentTextChar"/>
    <w:rsid w:val="00221C0F"/>
    <w:rPr>
      <w:sz w:val="20"/>
      <w:szCs w:val="20"/>
    </w:rPr>
  </w:style>
  <w:style w:type="character" w:customStyle="1" w:styleId="CommentTextChar">
    <w:name w:val="Comment Text Char"/>
    <w:basedOn w:val="DefaultParagraphFont"/>
    <w:link w:val="CommentText"/>
    <w:rsid w:val="00221C0F"/>
  </w:style>
  <w:style w:type="paragraph" w:styleId="CommentSubject">
    <w:name w:val="annotation subject"/>
    <w:basedOn w:val="CommentText"/>
    <w:next w:val="CommentText"/>
    <w:link w:val="CommentSubjectChar"/>
    <w:rsid w:val="00221C0F"/>
    <w:rPr>
      <w:b/>
      <w:bCs/>
    </w:rPr>
  </w:style>
  <w:style w:type="character" w:customStyle="1" w:styleId="CommentSubjectChar">
    <w:name w:val="Comment Subject Char"/>
    <w:basedOn w:val="CommentTextChar"/>
    <w:link w:val="CommentSubject"/>
    <w:rsid w:val="00221C0F"/>
    <w:rPr>
      <w:b/>
      <w:bCs/>
    </w:rPr>
  </w:style>
  <w:style w:type="paragraph" w:styleId="ListParagraph">
    <w:name w:val="List Paragraph"/>
    <w:basedOn w:val="Normal"/>
    <w:uiPriority w:val="34"/>
    <w:qFormat/>
    <w:rsid w:val="00221C0F"/>
    <w:pPr>
      <w:ind w:left="720"/>
      <w:contextualSpacing/>
    </w:pPr>
  </w:style>
  <w:style w:type="paragraph" w:styleId="NormalWeb">
    <w:name w:val="Normal (Web)"/>
    <w:basedOn w:val="Normal"/>
    <w:uiPriority w:val="99"/>
    <w:unhideWhenUsed/>
    <w:rsid w:val="00346616"/>
    <w:pPr>
      <w:spacing w:before="100" w:beforeAutospacing="1" w:after="100" w:afterAutospacing="1"/>
    </w:pPr>
  </w:style>
  <w:style w:type="paragraph" w:styleId="PlainText">
    <w:name w:val="Plain Text"/>
    <w:basedOn w:val="Normal"/>
    <w:link w:val="PlainTextChar"/>
    <w:uiPriority w:val="99"/>
    <w:unhideWhenUsed/>
    <w:rsid w:val="00346616"/>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346616"/>
    <w:rPr>
      <w:rFonts w:ascii="Calibri" w:eastAsiaTheme="minorHAnsi" w:hAnsi="Calibri" w:cs="Consolas"/>
      <w:sz w:val="22"/>
      <w:szCs w:val="21"/>
      <w:lang w:eastAsia="en-US"/>
    </w:rPr>
  </w:style>
  <w:style w:type="paragraph" w:customStyle="1" w:styleId="PHEBodycopy">
    <w:name w:val="PHE Body copy"/>
    <w:basedOn w:val="Normal"/>
    <w:rsid w:val="00346616"/>
    <w:pPr>
      <w:spacing w:line="320" w:lineRule="exact"/>
      <w:ind w:right="794"/>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1574"/>
    <w:rPr>
      <w:color w:val="0000FF"/>
      <w:u w:val="single"/>
    </w:rPr>
  </w:style>
  <w:style w:type="paragraph" w:styleId="Header">
    <w:name w:val="header"/>
    <w:basedOn w:val="Normal"/>
    <w:link w:val="HeaderChar"/>
    <w:uiPriority w:val="99"/>
    <w:rsid w:val="004C3834"/>
    <w:pPr>
      <w:tabs>
        <w:tab w:val="center" w:pos="4513"/>
        <w:tab w:val="right" w:pos="9026"/>
      </w:tabs>
    </w:pPr>
  </w:style>
  <w:style w:type="character" w:customStyle="1" w:styleId="HeaderChar">
    <w:name w:val="Header Char"/>
    <w:link w:val="Header"/>
    <w:uiPriority w:val="99"/>
    <w:rsid w:val="004C3834"/>
    <w:rPr>
      <w:sz w:val="24"/>
      <w:szCs w:val="24"/>
    </w:rPr>
  </w:style>
  <w:style w:type="paragraph" w:styleId="Footer">
    <w:name w:val="footer"/>
    <w:basedOn w:val="Normal"/>
    <w:link w:val="FooterChar"/>
    <w:uiPriority w:val="99"/>
    <w:rsid w:val="004C3834"/>
    <w:pPr>
      <w:tabs>
        <w:tab w:val="center" w:pos="4513"/>
        <w:tab w:val="right" w:pos="9026"/>
      </w:tabs>
    </w:pPr>
  </w:style>
  <w:style w:type="character" w:customStyle="1" w:styleId="FooterChar">
    <w:name w:val="Footer Char"/>
    <w:link w:val="Footer"/>
    <w:uiPriority w:val="99"/>
    <w:rsid w:val="004C3834"/>
    <w:rPr>
      <w:sz w:val="24"/>
      <w:szCs w:val="24"/>
    </w:rPr>
  </w:style>
  <w:style w:type="paragraph" w:styleId="BalloonText">
    <w:name w:val="Balloon Text"/>
    <w:basedOn w:val="Normal"/>
    <w:link w:val="BalloonTextChar"/>
    <w:rsid w:val="004C3834"/>
    <w:rPr>
      <w:rFonts w:ascii="Tahoma" w:hAnsi="Tahoma" w:cs="Tahoma"/>
      <w:sz w:val="16"/>
      <w:szCs w:val="16"/>
    </w:rPr>
  </w:style>
  <w:style w:type="character" w:customStyle="1" w:styleId="BalloonTextChar">
    <w:name w:val="Balloon Text Char"/>
    <w:link w:val="BalloonText"/>
    <w:rsid w:val="004C3834"/>
    <w:rPr>
      <w:rFonts w:ascii="Tahoma" w:hAnsi="Tahoma" w:cs="Tahoma"/>
      <w:sz w:val="16"/>
      <w:szCs w:val="16"/>
    </w:rPr>
  </w:style>
  <w:style w:type="character" w:styleId="CommentReference">
    <w:name w:val="annotation reference"/>
    <w:basedOn w:val="DefaultParagraphFont"/>
    <w:rsid w:val="00221C0F"/>
    <w:rPr>
      <w:sz w:val="16"/>
      <w:szCs w:val="16"/>
    </w:rPr>
  </w:style>
  <w:style w:type="paragraph" w:styleId="CommentText">
    <w:name w:val="annotation text"/>
    <w:basedOn w:val="Normal"/>
    <w:link w:val="CommentTextChar"/>
    <w:rsid w:val="00221C0F"/>
    <w:rPr>
      <w:sz w:val="20"/>
      <w:szCs w:val="20"/>
    </w:rPr>
  </w:style>
  <w:style w:type="character" w:customStyle="1" w:styleId="CommentTextChar">
    <w:name w:val="Comment Text Char"/>
    <w:basedOn w:val="DefaultParagraphFont"/>
    <w:link w:val="CommentText"/>
    <w:rsid w:val="00221C0F"/>
  </w:style>
  <w:style w:type="paragraph" w:styleId="CommentSubject">
    <w:name w:val="annotation subject"/>
    <w:basedOn w:val="CommentText"/>
    <w:next w:val="CommentText"/>
    <w:link w:val="CommentSubjectChar"/>
    <w:rsid w:val="00221C0F"/>
    <w:rPr>
      <w:b/>
      <w:bCs/>
    </w:rPr>
  </w:style>
  <w:style w:type="character" w:customStyle="1" w:styleId="CommentSubjectChar">
    <w:name w:val="Comment Subject Char"/>
    <w:basedOn w:val="CommentTextChar"/>
    <w:link w:val="CommentSubject"/>
    <w:rsid w:val="00221C0F"/>
    <w:rPr>
      <w:b/>
      <w:bCs/>
    </w:rPr>
  </w:style>
  <w:style w:type="paragraph" w:styleId="ListParagraph">
    <w:name w:val="List Paragraph"/>
    <w:basedOn w:val="Normal"/>
    <w:uiPriority w:val="34"/>
    <w:qFormat/>
    <w:rsid w:val="00221C0F"/>
    <w:pPr>
      <w:ind w:left="720"/>
      <w:contextualSpacing/>
    </w:pPr>
  </w:style>
  <w:style w:type="paragraph" w:styleId="NormalWeb">
    <w:name w:val="Normal (Web)"/>
    <w:basedOn w:val="Normal"/>
    <w:uiPriority w:val="99"/>
    <w:unhideWhenUsed/>
    <w:rsid w:val="00346616"/>
    <w:pPr>
      <w:spacing w:before="100" w:beforeAutospacing="1" w:after="100" w:afterAutospacing="1"/>
    </w:pPr>
  </w:style>
  <w:style w:type="paragraph" w:styleId="PlainText">
    <w:name w:val="Plain Text"/>
    <w:basedOn w:val="Normal"/>
    <w:link w:val="PlainTextChar"/>
    <w:uiPriority w:val="99"/>
    <w:unhideWhenUsed/>
    <w:rsid w:val="00346616"/>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346616"/>
    <w:rPr>
      <w:rFonts w:ascii="Calibri" w:eastAsiaTheme="minorHAnsi" w:hAnsi="Calibri" w:cs="Consolas"/>
      <w:sz w:val="22"/>
      <w:szCs w:val="21"/>
      <w:lang w:eastAsia="en-US"/>
    </w:rPr>
  </w:style>
  <w:style w:type="paragraph" w:customStyle="1" w:styleId="PHEBodycopy">
    <w:name w:val="PHE Body copy"/>
    <w:basedOn w:val="Normal"/>
    <w:rsid w:val="00346616"/>
    <w:pPr>
      <w:spacing w:line="320" w:lineRule="exact"/>
      <w:ind w:right="794"/>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887">
      <w:bodyDiv w:val="1"/>
      <w:marLeft w:val="0"/>
      <w:marRight w:val="0"/>
      <w:marTop w:val="0"/>
      <w:marBottom w:val="0"/>
      <w:divBdr>
        <w:top w:val="none" w:sz="0" w:space="0" w:color="auto"/>
        <w:left w:val="none" w:sz="0" w:space="0" w:color="auto"/>
        <w:bottom w:val="none" w:sz="0" w:space="0" w:color="auto"/>
        <w:right w:val="none" w:sz="0" w:space="0" w:color="auto"/>
      </w:divBdr>
    </w:div>
    <w:div w:id="59376532">
      <w:bodyDiv w:val="1"/>
      <w:marLeft w:val="0"/>
      <w:marRight w:val="0"/>
      <w:marTop w:val="0"/>
      <w:marBottom w:val="0"/>
      <w:divBdr>
        <w:top w:val="none" w:sz="0" w:space="0" w:color="auto"/>
        <w:left w:val="none" w:sz="0" w:space="0" w:color="auto"/>
        <w:bottom w:val="none" w:sz="0" w:space="0" w:color="auto"/>
        <w:right w:val="none" w:sz="0" w:space="0" w:color="auto"/>
      </w:divBdr>
    </w:div>
    <w:div w:id="224295221">
      <w:bodyDiv w:val="1"/>
      <w:marLeft w:val="0"/>
      <w:marRight w:val="0"/>
      <w:marTop w:val="0"/>
      <w:marBottom w:val="0"/>
      <w:divBdr>
        <w:top w:val="none" w:sz="0" w:space="0" w:color="auto"/>
        <w:left w:val="none" w:sz="0" w:space="0" w:color="auto"/>
        <w:bottom w:val="none" w:sz="0" w:space="0" w:color="auto"/>
        <w:right w:val="none" w:sz="0" w:space="0" w:color="auto"/>
      </w:divBdr>
    </w:div>
    <w:div w:id="671421212">
      <w:bodyDiv w:val="1"/>
      <w:marLeft w:val="0"/>
      <w:marRight w:val="0"/>
      <w:marTop w:val="0"/>
      <w:marBottom w:val="0"/>
      <w:divBdr>
        <w:top w:val="none" w:sz="0" w:space="0" w:color="auto"/>
        <w:left w:val="none" w:sz="0" w:space="0" w:color="auto"/>
        <w:bottom w:val="none" w:sz="0" w:space="0" w:color="auto"/>
        <w:right w:val="none" w:sz="0" w:space="0" w:color="auto"/>
      </w:divBdr>
    </w:div>
    <w:div w:id="786005612">
      <w:bodyDiv w:val="1"/>
      <w:marLeft w:val="0"/>
      <w:marRight w:val="0"/>
      <w:marTop w:val="0"/>
      <w:marBottom w:val="0"/>
      <w:divBdr>
        <w:top w:val="none" w:sz="0" w:space="0" w:color="auto"/>
        <w:left w:val="none" w:sz="0" w:space="0" w:color="auto"/>
        <w:bottom w:val="none" w:sz="0" w:space="0" w:color="auto"/>
        <w:right w:val="none" w:sz="0" w:space="0" w:color="auto"/>
      </w:divBdr>
    </w:div>
    <w:div w:id="850530725">
      <w:bodyDiv w:val="1"/>
      <w:marLeft w:val="0"/>
      <w:marRight w:val="0"/>
      <w:marTop w:val="0"/>
      <w:marBottom w:val="0"/>
      <w:divBdr>
        <w:top w:val="none" w:sz="0" w:space="0" w:color="auto"/>
        <w:left w:val="none" w:sz="0" w:space="0" w:color="auto"/>
        <w:bottom w:val="none" w:sz="0" w:space="0" w:color="auto"/>
        <w:right w:val="none" w:sz="0" w:space="0" w:color="auto"/>
      </w:divBdr>
      <w:divsChild>
        <w:div w:id="1808620762">
          <w:marLeft w:val="547"/>
          <w:marRight w:val="0"/>
          <w:marTop w:val="0"/>
          <w:marBottom w:val="0"/>
          <w:divBdr>
            <w:top w:val="none" w:sz="0" w:space="0" w:color="auto"/>
            <w:left w:val="none" w:sz="0" w:space="0" w:color="auto"/>
            <w:bottom w:val="none" w:sz="0" w:space="0" w:color="auto"/>
            <w:right w:val="none" w:sz="0" w:space="0" w:color="auto"/>
          </w:divBdr>
        </w:div>
      </w:divsChild>
    </w:div>
    <w:div w:id="885719895">
      <w:bodyDiv w:val="1"/>
      <w:marLeft w:val="0"/>
      <w:marRight w:val="0"/>
      <w:marTop w:val="0"/>
      <w:marBottom w:val="0"/>
      <w:divBdr>
        <w:top w:val="none" w:sz="0" w:space="0" w:color="auto"/>
        <w:left w:val="none" w:sz="0" w:space="0" w:color="auto"/>
        <w:bottom w:val="none" w:sz="0" w:space="0" w:color="auto"/>
        <w:right w:val="none" w:sz="0" w:space="0" w:color="auto"/>
      </w:divBdr>
    </w:div>
    <w:div w:id="914052343">
      <w:bodyDiv w:val="1"/>
      <w:marLeft w:val="0"/>
      <w:marRight w:val="0"/>
      <w:marTop w:val="0"/>
      <w:marBottom w:val="0"/>
      <w:divBdr>
        <w:top w:val="none" w:sz="0" w:space="0" w:color="auto"/>
        <w:left w:val="none" w:sz="0" w:space="0" w:color="auto"/>
        <w:bottom w:val="none" w:sz="0" w:space="0" w:color="auto"/>
        <w:right w:val="none" w:sz="0" w:space="0" w:color="auto"/>
      </w:divBdr>
      <w:divsChild>
        <w:div w:id="1918125532">
          <w:marLeft w:val="547"/>
          <w:marRight w:val="0"/>
          <w:marTop w:val="0"/>
          <w:marBottom w:val="0"/>
          <w:divBdr>
            <w:top w:val="none" w:sz="0" w:space="0" w:color="auto"/>
            <w:left w:val="none" w:sz="0" w:space="0" w:color="auto"/>
            <w:bottom w:val="none" w:sz="0" w:space="0" w:color="auto"/>
            <w:right w:val="none" w:sz="0" w:space="0" w:color="auto"/>
          </w:divBdr>
        </w:div>
      </w:divsChild>
    </w:div>
    <w:div w:id="1148011939">
      <w:bodyDiv w:val="1"/>
      <w:marLeft w:val="0"/>
      <w:marRight w:val="0"/>
      <w:marTop w:val="0"/>
      <w:marBottom w:val="0"/>
      <w:divBdr>
        <w:top w:val="none" w:sz="0" w:space="0" w:color="auto"/>
        <w:left w:val="none" w:sz="0" w:space="0" w:color="auto"/>
        <w:bottom w:val="none" w:sz="0" w:space="0" w:color="auto"/>
        <w:right w:val="none" w:sz="0" w:space="0" w:color="auto"/>
      </w:divBdr>
    </w:div>
    <w:div w:id="1410805868">
      <w:bodyDiv w:val="1"/>
      <w:marLeft w:val="0"/>
      <w:marRight w:val="0"/>
      <w:marTop w:val="0"/>
      <w:marBottom w:val="0"/>
      <w:divBdr>
        <w:top w:val="none" w:sz="0" w:space="0" w:color="auto"/>
        <w:left w:val="none" w:sz="0" w:space="0" w:color="auto"/>
        <w:bottom w:val="none" w:sz="0" w:space="0" w:color="auto"/>
        <w:right w:val="none" w:sz="0" w:space="0" w:color="auto"/>
      </w:divBdr>
    </w:div>
    <w:div w:id="1681666192">
      <w:bodyDiv w:val="1"/>
      <w:marLeft w:val="0"/>
      <w:marRight w:val="0"/>
      <w:marTop w:val="0"/>
      <w:marBottom w:val="0"/>
      <w:divBdr>
        <w:top w:val="none" w:sz="0" w:space="0" w:color="auto"/>
        <w:left w:val="none" w:sz="0" w:space="0" w:color="auto"/>
        <w:bottom w:val="none" w:sz="0" w:space="0" w:color="auto"/>
        <w:right w:val="none" w:sz="0" w:space="0" w:color="auto"/>
      </w:divBdr>
    </w:div>
    <w:div w:id="1698894953">
      <w:bodyDiv w:val="1"/>
      <w:marLeft w:val="0"/>
      <w:marRight w:val="0"/>
      <w:marTop w:val="0"/>
      <w:marBottom w:val="0"/>
      <w:divBdr>
        <w:top w:val="none" w:sz="0" w:space="0" w:color="auto"/>
        <w:left w:val="none" w:sz="0" w:space="0" w:color="auto"/>
        <w:bottom w:val="none" w:sz="0" w:space="0" w:color="auto"/>
        <w:right w:val="none" w:sz="0" w:space="0" w:color="auto"/>
      </w:divBdr>
    </w:div>
    <w:div w:id="1988626783">
      <w:bodyDiv w:val="1"/>
      <w:marLeft w:val="0"/>
      <w:marRight w:val="0"/>
      <w:marTop w:val="0"/>
      <w:marBottom w:val="0"/>
      <w:divBdr>
        <w:top w:val="none" w:sz="0" w:space="0" w:color="auto"/>
        <w:left w:val="none" w:sz="0" w:space="0" w:color="auto"/>
        <w:bottom w:val="none" w:sz="0" w:space="0" w:color="auto"/>
        <w:right w:val="none" w:sz="0" w:space="0" w:color="auto"/>
      </w:divBdr>
    </w:div>
    <w:div w:id="2072801173">
      <w:bodyDiv w:val="1"/>
      <w:marLeft w:val="0"/>
      <w:marRight w:val="0"/>
      <w:marTop w:val="0"/>
      <w:marBottom w:val="0"/>
      <w:divBdr>
        <w:top w:val="none" w:sz="0" w:space="0" w:color="auto"/>
        <w:left w:val="none" w:sz="0" w:space="0" w:color="auto"/>
        <w:bottom w:val="none" w:sz="0" w:space="0" w:color="auto"/>
        <w:right w:val="none" w:sz="0" w:space="0" w:color="auto"/>
      </w:divBdr>
    </w:div>
    <w:div w:id="2142383131">
      <w:bodyDiv w:val="1"/>
      <w:marLeft w:val="0"/>
      <w:marRight w:val="0"/>
      <w:marTop w:val="0"/>
      <w:marBottom w:val="0"/>
      <w:divBdr>
        <w:top w:val="none" w:sz="0" w:space="0" w:color="auto"/>
        <w:left w:val="none" w:sz="0" w:space="0" w:color="auto"/>
        <w:bottom w:val="none" w:sz="0" w:space="0" w:color="auto"/>
        <w:right w:val="none" w:sz="0" w:space="0" w:color="auto"/>
      </w:divBdr>
      <w:divsChild>
        <w:div w:id="6071996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22.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footer" Target="footer1.xml"/><Relationship Id="rId38"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13.png"/><Relationship Id="rId32" Type="http://schemas.openxmlformats.org/officeDocument/2006/relationships/image" Target="media/image21.emf"/><Relationship Id="rId37" Type="http://schemas.openxmlformats.org/officeDocument/2006/relationships/image" Target="media/image25.e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hyperlink" Target="mailto:martin.mcdowell@southseftonccg.nhs.uk" TargetMode="External"/><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u="sng"/>
            </a:pPr>
            <a:r>
              <a:rPr lang="en-GB" sz="1400" b="1" u="sng" baseline="0"/>
              <a:t>South Sefton CCG Outturn at Month 10</a:t>
            </a:r>
            <a:endParaRPr lang="en-GB" sz="1400" b="1" u="sng"/>
          </a:p>
        </c:rich>
      </c:tx>
      <c:layout>
        <c:manualLayout>
          <c:xMode val="edge"/>
          <c:yMode val="edge"/>
          <c:x val="0.21093478699777912"/>
          <c:y val="0"/>
        </c:manualLayout>
      </c:layout>
      <c:overlay val="0"/>
    </c:title>
    <c:autoTitleDeleted val="0"/>
    <c:plotArea>
      <c:layout>
        <c:manualLayout>
          <c:layoutTarget val="inner"/>
          <c:xMode val="edge"/>
          <c:yMode val="edge"/>
          <c:x val="0.1239763779527559"/>
          <c:y val="9.1125153659590022E-2"/>
          <c:w val="0.8451054916212396"/>
          <c:h val="0.695477723512409"/>
        </c:manualLayout>
      </c:layout>
      <c:barChart>
        <c:barDir val="col"/>
        <c:grouping val="stacked"/>
        <c:varyColors val="0"/>
        <c:ser>
          <c:idx val="0"/>
          <c:order val="0"/>
          <c:spPr>
            <a:noFill/>
            <a:ln>
              <a:noFill/>
            </a:ln>
          </c:spPr>
          <c:invertIfNegative val="0"/>
          <c:dLbls>
            <c:delete val="1"/>
          </c:dLbls>
          <c:cat>
            <c:strRef>
              <c:f>Data!$B$6:$B$16</c:f>
              <c:strCache>
                <c:ptCount val="11"/>
                <c:pt idx="0">
                  <c:v>AINTREE </c:v>
                </c:pt>
                <c:pt idx="1">
                  <c:v>FUNDED NURSING CARE</c:v>
                </c:pt>
                <c:pt idx="2">
                  <c:v>INDEPENDENT SECTOR</c:v>
                </c:pt>
                <c:pt idx="3">
                  <c:v>ALDER HEY </c:v>
                </c:pt>
                <c:pt idx="4">
                  <c:v>OTHER </c:v>
                </c:pt>
                <c:pt idx="5">
                  <c:v>LIVERPOOL HEART &amp; CHEST</c:v>
                </c:pt>
                <c:pt idx="6">
                  <c:v>WWL</c:v>
                </c:pt>
                <c:pt idx="7">
                  <c:v>SOUTHPORT &amp; ORMSKIRK</c:v>
                </c:pt>
                <c:pt idx="8">
                  <c:v>PRIOR YEAR ADJUSTMENTS</c:v>
                </c:pt>
                <c:pt idx="9">
                  <c:v>SLA GROWTH / CONTINGENCY</c:v>
                </c:pt>
                <c:pt idx="10">
                  <c:v>FINAL POSITION</c:v>
                </c:pt>
              </c:strCache>
            </c:strRef>
          </c:cat>
          <c:val>
            <c:numRef>
              <c:f>Data!$E$6:$E$16</c:f>
              <c:numCache>
                <c:formatCode>_-* #,##0_-;\-* #,##0_-;_-* "-"??_-;_-@_-</c:formatCode>
                <c:ptCount val="11"/>
                <c:pt idx="0">
                  <c:v>0</c:v>
                </c:pt>
                <c:pt idx="1">
                  <c:v>755</c:v>
                </c:pt>
                <c:pt idx="2">
                  <c:v>1500</c:v>
                </c:pt>
                <c:pt idx="3">
                  <c:v>2136</c:v>
                </c:pt>
                <c:pt idx="4">
                  <c:v>2685</c:v>
                </c:pt>
                <c:pt idx="5">
                  <c:v>2998</c:v>
                </c:pt>
                <c:pt idx="6">
                  <c:v>3174</c:v>
                </c:pt>
                <c:pt idx="7">
                  <c:v>2965</c:v>
                </c:pt>
                <c:pt idx="8">
                  <c:v>2582</c:v>
                </c:pt>
                <c:pt idx="9">
                  <c:v>1199</c:v>
                </c:pt>
                <c:pt idx="10">
                  <c:v>0</c:v>
                </c:pt>
              </c:numCache>
            </c:numRef>
          </c:val>
        </c:ser>
        <c:ser>
          <c:idx val="1"/>
          <c:order val="1"/>
          <c:spPr>
            <a:solidFill>
              <a:srgbClr val="92D050"/>
            </a:solidFill>
          </c:spPr>
          <c:invertIfNegative val="0"/>
          <c:dPt>
            <c:idx val="0"/>
            <c:invertIfNegative val="0"/>
            <c:bubble3D val="0"/>
            <c:spPr>
              <a:solidFill>
                <a:srgbClr val="C05350"/>
              </a:solidFill>
            </c:spPr>
          </c:dPt>
          <c:dPt>
            <c:idx val="1"/>
            <c:invertIfNegative val="0"/>
            <c:bubble3D val="0"/>
            <c:spPr>
              <a:solidFill>
                <a:srgbClr val="C05350"/>
              </a:solidFill>
            </c:spPr>
          </c:dPt>
          <c:dPt>
            <c:idx val="2"/>
            <c:invertIfNegative val="0"/>
            <c:bubble3D val="0"/>
            <c:spPr>
              <a:solidFill>
                <a:srgbClr val="C05350"/>
              </a:solidFill>
            </c:spPr>
          </c:dPt>
          <c:dPt>
            <c:idx val="3"/>
            <c:invertIfNegative val="0"/>
            <c:bubble3D val="0"/>
            <c:spPr>
              <a:solidFill>
                <a:srgbClr val="C05350"/>
              </a:solidFill>
            </c:spPr>
          </c:dPt>
          <c:dPt>
            <c:idx val="4"/>
            <c:invertIfNegative val="0"/>
            <c:bubble3D val="0"/>
            <c:spPr>
              <a:solidFill>
                <a:srgbClr val="C05350"/>
              </a:solidFill>
            </c:spPr>
          </c:dPt>
          <c:dPt>
            <c:idx val="5"/>
            <c:invertIfNegative val="0"/>
            <c:bubble3D val="0"/>
            <c:spPr>
              <a:solidFill>
                <a:schemeClr val="accent2"/>
              </a:solidFill>
            </c:spPr>
          </c:dPt>
          <c:dPt>
            <c:idx val="6"/>
            <c:invertIfNegative val="0"/>
            <c:bubble3D val="0"/>
            <c:spPr/>
          </c:dPt>
          <c:dPt>
            <c:idx val="7"/>
            <c:invertIfNegative val="0"/>
            <c:bubble3D val="0"/>
          </c:dPt>
          <c:dPt>
            <c:idx val="8"/>
            <c:invertIfNegative val="0"/>
            <c:bubble3D val="0"/>
          </c:dPt>
          <c:dPt>
            <c:idx val="9"/>
            <c:invertIfNegative val="0"/>
            <c:bubble3D val="0"/>
          </c:dPt>
          <c:dPt>
            <c:idx val="10"/>
            <c:invertIfNegative val="0"/>
            <c:bubble3D val="0"/>
            <c:spPr>
              <a:solidFill>
                <a:schemeClr val="accent4"/>
              </a:solidFill>
            </c:spPr>
          </c:dPt>
          <c:dPt>
            <c:idx val="11"/>
            <c:invertIfNegative val="0"/>
            <c:bubble3D val="0"/>
          </c:dPt>
          <c:dPt>
            <c:idx val="12"/>
            <c:invertIfNegative val="0"/>
            <c:bubble3D val="0"/>
            <c:spPr>
              <a:solidFill>
                <a:schemeClr val="accent4">
                  <a:lumMod val="40000"/>
                  <a:lumOff val="60000"/>
                </a:schemeClr>
              </a:solidFill>
            </c:spPr>
          </c:dPt>
          <c:dLbls>
            <c:dLbl>
              <c:idx val="0"/>
              <c:spPr/>
              <c:txPr>
                <a:bodyPr/>
                <a:lstStyle/>
                <a:p>
                  <a:pPr>
                    <a:defRPr baseline="0">
                      <a:solidFill>
                        <a:schemeClr val="bg1"/>
                      </a:solidFill>
                    </a:defRPr>
                  </a:pPr>
                  <a:endParaRPr lang="en-US"/>
                </a:p>
              </c:txPr>
              <c:showLegendKey val="0"/>
              <c:showVal val="1"/>
              <c:showCatName val="0"/>
              <c:showSerName val="0"/>
              <c:showPercent val="0"/>
              <c:showBubbleSize val="0"/>
            </c:dLbl>
            <c:dLbl>
              <c:idx val="1"/>
              <c:spPr/>
              <c:txPr>
                <a:bodyPr/>
                <a:lstStyle/>
                <a:p>
                  <a:pPr>
                    <a:defRPr baseline="0">
                      <a:solidFill>
                        <a:schemeClr val="bg1"/>
                      </a:solidFill>
                    </a:defRPr>
                  </a:pPr>
                  <a:endParaRPr lang="en-US"/>
                </a:p>
              </c:txPr>
              <c:showLegendKey val="0"/>
              <c:showVal val="1"/>
              <c:showCatName val="0"/>
              <c:showSerName val="0"/>
              <c:showPercent val="0"/>
              <c:showBubbleSize val="0"/>
            </c:dLbl>
            <c:dLbl>
              <c:idx val="2"/>
              <c:spPr/>
              <c:txPr>
                <a:bodyPr/>
                <a:lstStyle/>
                <a:p>
                  <a:pPr>
                    <a:defRPr baseline="0">
                      <a:solidFill>
                        <a:schemeClr val="bg1"/>
                      </a:solidFill>
                    </a:defRPr>
                  </a:pPr>
                  <a:endParaRPr lang="en-US"/>
                </a:p>
              </c:txPr>
              <c:showLegendKey val="0"/>
              <c:showVal val="1"/>
              <c:showCatName val="0"/>
              <c:showSerName val="0"/>
              <c:showPercent val="0"/>
              <c:showBubbleSize val="0"/>
            </c:dLbl>
            <c:dLbl>
              <c:idx val="3"/>
              <c:spPr/>
              <c:txPr>
                <a:bodyPr/>
                <a:lstStyle/>
                <a:p>
                  <a:pPr>
                    <a:defRPr baseline="0">
                      <a:solidFill>
                        <a:schemeClr val="bg1"/>
                      </a:solidFill>
                    </a:defRPr>
                  </a:pPr>
                  <a:endParaRPr lang="en-US"/>
                </a:p>
              </c:txPr>
              <c:showLegendKey val="0"/>
              <c:showVal val="1"/>
              <c:showCatName val="0"/>
              <c:showSerName val="0"/>
              <c:showPercent val="0"/>
              <c:showBubbleSize val="0"/>
            </c:dLbl>
            <c:dLbl>
              <c:idx val="4"/>
              <c:spPr/>
              <c:txPr>
                <a:bodyPr/>
                <a:lstStyle/>
                <a:p>
                  <a:pPr>
                    <a:defRPr baseline="0">
                      <a:solidFill>
                        <a:schemeClr val="bg1"/>
                      </a:solidFill>
                    </a:defRPr>
                  </a:pPr>
                  <a:endParaRPr lang="en-US"/>
                </a:p>
              </c:txPr>
              <c:showLegendKey val="0"/>
              <c:showVal val="1"/>
              <c:showCatName val="0"/>
              <c:showSerName val="0"/>
              <c:showPercent val="0"/>
              <c:showBubbleSize val="0"/>
            </c:dLbl>
            <c:dLbl>
              <c:idx val="5"/>
              <c:layout>
                <c:manualLayout>
                  <c:x val="9.2673036247416284E-4"/>
                  <c:y val="0"/>
                </c:manualLayout>
              </c:layout>
              <c:spPr/>
              <c:txPr>
                <a:bodyPr/>
                <a:lstStyle/>
                <a:p>
                  <a:pPr>
                    <a:defRPr>
                      <a:solidFill>
                        <a:schemeClr val="bg1"/>
                      </a:solidFill>
                    </a:defRPr>
                  </a:pPr>
                  <a:endParaRPr lang="en-US"/>
                </a:p>
              </c:txPr>
              <c:showLegendKey val="0"/>
              <c:showVal val="1"/>
              <c:showCatName val="0"/>
              <c:showSerName val="0"/>
              <c:showPercent val="0"/>
              <c:showBubbleSize val="0"/>
            </c:dLbl>
            <c:dLbl>
              <c:idx val="6"/>
              <c:spPr/>
              <c:txPr>
                <a:bodyPr/>
                <a:lstStyle/>
                <a:p>
                  <a:pPr>
                    <a:defRPr baseline="0">
                      <a:solidFill>
                        <a:schemeClr val="bg1"/>
                      </a:solidFill>
                    </a:defRPr>
                  </a:pPr>
                  <a:endParaRPr lang="en-US"/>
                </a:p>
              </c:txPr>
              <c:showLegendKey val="0"/>
              <c:showVal val="1"/>
              <c:showCatName val="0"/>
              <c:showSerName val="0"/>
              <c:showPercent val="0"/>
              <c:showBubbleSize val="0"/>
            </c:dLbl>
            <c:dLbl>
              <c:idx val="8"/>
              <c:layout>
                <c:manualLayout>
                  <c:x val="-1.8534607249483257E-3"/>
                  <c:y val="-2.7599189919608027E-3"/>
                </c:manualLayout>
              </c:layout>
              <c:spPr/>
              <c:txPr>
                <a:bodyPr/>
                <a:lstStyle/>
                <a:p>
                  <a:pPr>
                    <a:defRPr/>
                  </a:pPr>
                  <a:endParaRPr lang="en-US"/>
                </a:p>
              </c:txPr>
              <c:showLegendKey val="0"/>
              <c:showVal val="1"/>
              <c:showCatName val="0"/>
              <c:showSerName val="0"/>
              <c:showPercent val="0"/>
              <c:showBubbleSize val="0"/>
            </c:dLbl>
            <c:dLbl>
              <c:idx val="9"/>
              <c:layout>
                <c:manualLayout>
                  <c:x val="-9.2673036247416284E-4"/>
                  <c:y val="-1.2544207217860188E-2"/>
                </c:manualLayout>
              </c:layout>
              <c:tx>
                <c:rich>
                  <a:bodyPr/>
                  <a:lstStyle/>
                  <a:p>
                    <a:r>
                      <a:rPr lang="en-US"/>
                      <a:t>1,383 </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Data!$B$6:$B$16</c:f>
              <c:strCache>
                <c:ptCount val="11"/>
                <c:pt idx="0">
                  <c:v>AINTREE </c:v>
                </c:pt>
                <c:pt idx="1">
                  <c:v>FUNDED NURSING CARE</c:v>
                </c:pt>
                <c:pt idx="2">
                  <c:v>INDEPENDENT SECTOR</c:v>
                </c:pt>
                <c:pt idx="3">
                  <c:v>ALDER HEY </c:v>
                </c:pt>
                <c:pt idx="4">
                  <c:v>OTHER </c:v>
                </c:pt>
                <c:pt idx="5">
                  <c:v>LIVERPOOL HEART &amp; CHEST</c:v>
                </c:pt>
                <c:pt idx="6">
                  <c:v>WWL</c:v>
                </c:pt>
                <c:pt idx="7">
                  <c:v>SOUTHPORT &amp; ORMSKIRK</c:v>
                </c:pt>
                <c:pt idx="8">
                  <c:v>PRIOR YEAR ADJUSTMENTS</c:v>
                </c:pt>
                <c:pt idx="9">
                  <c:v>SLA GROWTH / CONTINGENCY</c:v>
                </c:pt>
                <c:pt idx="10">
                  <c:v>FINAL POSITION</c:v>
                </c:pt>
              </c:strCache>
            </c:strRef>
          </c:cat>
          <c:val>
            <c:numRef>
              <c:f>Data!$F$6:$F$16</c:f>
              <c:numCache>
                <c:formatCode>_-* #,##0_-;\-* #,##0_-;_-* "-"??_-;_-@_-</c:formatCode>
                <c:ptCount val="11"/>
                <c:pt idx="0">
                  <c:v>755</c:v>
                </c:pt>
                <c:pt idx="1">
                  <c:v>745</c:v>
                </c:pt>
                <c:pt idx="2">
                  <c:v>636</c:v>
                </c:pt>
                <c:pt idx="3">
                  <c:v>549</c:v>
                </c:pt>
                <c:pt idx="4">
                  <c:v>313</c:v>
                </c:pt>
                <c:pt idx="5">
                  <c:v>176</c:v>
                </c:pt>
                <c:pt idx="6">
                  <c:v>143</c:v>
                </c:pt>
                <c:pt idx="7">
                  <c:v>352</c:v>
                </c:pt>
                <c:pt idx="8">
                  <c:v>383</c:v>
                </c:pt>
                <c:pt idx="9">
                  <c:v>1383</c:v>
                </c:pt>
                <c:pt idx="10">
                  <c:v>1199</c:v>
                </c:pt>
              </c:numCache>
            </c:numRef>
          </c:val>
        </c:ser>
        <c:ser>
          <c:idx val="2"/>
          <c:order val="2"/>
          <c:spPr>
            <a:solidFill>
              <a:srgbClr val="92D050"/>
            </a:solidFill>
          </c:spPr>
          <c:invertIfNegative val="0"/>
          <c:dLbls>
            <c:delete val="1"/>
          </c:dLbls>
          <c:cat>
            <c:strRef>
              <c:f>Data!$B$6:$B$16</c:f>
              <c:strCache>
                <c:ptCount val="11"/>
                <c:pt idx="0">
                  <c:v>AINTREE </c:v>
                </c:pt>
                <c:pt idx="1">
                  <c:v>FUNDED NURSING CARE</c:v>
                </c:pt>
                <c:pt idx="2">
                  <c:v>INDEPENDENT SECTOR</c:v>
                </c:pt>
                <c:pt idx="3">
                  <c:v>ALDER HEY </c:v>
                </c:pt>
                <c:pt idx="4">
                  <c:v>OTHER </c:v>
                </c:pt>
                <c:pt idx="5">
                  <c:v>LIVERPOOL HEART &amp; CHEST</c:v>
                </c:pt>
                <c:pt idx="6">
                  <c:v>WWL</c:v>
                </c:pt>
                <c:pt idx="7">
                  <c:v>SOUTHPORT &amp; ORMSKIRK</c:v>
                </c:pt>
                <c:pt idx="8">
                  <c:v>PRIOR YEAR ADJUSTMENTS</c:v>
                </c:pt>
                <c:pt idx="9">
                  <c:v>SLA GROWTH / CONTINGENCY</c:v>
                </c:pt>
                <c:pt idx="10">
                  <c:v>FINAL POSITION</c:v>
                </c:pt>
              </c:strCache>
            </c:strRef>
          </c:cat>
          <c:val>
            <c:numRef>
              <c:f>Data!$G$6:$G$16</c:f>
              <c:numCache>
                <c:formatCode>_-* #,##0_-;\-* #,##0_-;_-* "-"??_-;_-@_-</c:formatCode>
                <c:ptCount val="11"/>
                <c:pt idx="0">
                  <c:v>0</c:v>
                </c:pt>
                <c:pt idx="1">
                  <c:v>0</c:v>
                </c:pt>
                <c:pt idx="2">
                  <c:v>0</c:v>
                </c:pt>
                <c:pt idx="3">
                  <c:v>0</c:v>
                </c:pt>
                <c:pt idx="4">
                  <c:v>0</c:v>
                </c:pt>
                <c:pt idx="5">
                  <c:v>0</c:v>
                </c:pt>
                <c:pt idx="6">
                  <c:v>0</c:v>
                </c:pt>
                <c:pt idx="7">
                  <c:v>0</c:v>
                </c:pt>
                <c:pt idx="8">
                  <c:v>0</c:v>
                </c:pt>
                <c:pt idx="9">
                  <c:v>0</c:v>
                </c:pt>
                <c:pt idx="10">
                  <c:v>0</c:v>
                </c:pt>
              </c:numCache>
            </c:numRef>
          </c:val>
        </c:ser>
        <c:dLbls>
          <c:showLegendKey val="0"/>
          <c:showVal val="1"/>
          <c:showCatName val="0"/>
          <c:showSerName val="0"/>
          <c:showPercent val="0"/>
          <c:showBubbleSize val="0"/>
        </c:dLbls>
        <c:gapWidth val="0"/>
        <c:overlap val="100"/>
        <c:axId val="121005568"/>
        <c:axId val="121007488"/>
      </c:barChart>
      <c:catAx>
        <c:axId val="121005568"/>
        <c:scaling>
          <c:orientation val="minMax"/>
        </c:scaling>
        <c:delete val="0"/>
        <c:axPos val="b"/>
        <c:title>
          <c:tx>
            <c:rich>
              <a:bodyPr/>
              <a:lstStyle/>
              <a:p>
                <a:pPr>
                  <a:defRPr sz="1200" baseline="0"/>
                </a:pPr>
                <a:r>
                  <a:rPr lang="en-US" sz="1200" baseline="0"/>
                  <a:t>Cost Area</a:t>
                </a:r>
              </a:p>
            </c:rich>
          </c:tx>
          <c:layout/>
          <c:overlay val="0"/>
        </c:title>
        <c:majorTickMark val="out"/>
        <c:minorTickMark val="none"/>
        <c:tickLblPos val="nextTo"/>
        <c:spPr>
          <a:ln>
            <a:prstDash val="sysDash"/>
          </a:ln>
        </c:spPr>
        <c:txPr>
          <a:bodyPr rot="-2760000"/>
          <a:lstStyle/>
          <a:p>
            <a:pPr>
              <a:defRPr/>
            </a:pPr>
            <a:endParaRPr lang="en-US"/>
          </a:p>
        </c:txPr>
        <c:crossAx val="121007488"/>
        <c:crossesAt val="-2000"/>
        <c:auto val="1"/>
        <c:lblAlgn val="ctr"/>
        <c:lblOffset val="100"/>
        <c:noMultiLvlLbl val="0"/>
      </c:catAx>
      <c:valAx>
        <c:axId val="121007488"/>
        <c:scaling>
          <c:orientation val="minMax"/>
          <c:max val="3400"/>
          <c:min val="-100"/>
        </c:scaling>
        <c:delete val="0"/>
        <c:axPos val="l"/>
        <c:minorGridlines>
          <c:spPr>
            <a:ln w="9525"/>
          </c:spPr>
        </c:minorGridlines>
        <c:title>
          <c:tx>
            <c:rich>
              <a:bodyPr rot="-5400000" vert="horz"/>
              <a:lstStyle/>
              <a:p>
                <a:pPr>
                  <a:defRPr sz="1200" baseline="0"/>
                </a:pPr>
                <a:r>
                  <a:rPr lang="en-US" sz="1200" baseline="0"/>
                  <a:t>£'000 Variance to Plan</a:t>
                </a:r>
              </a:p>
            </c:rich>
          </c:tx>
          <c:layout>
            <c:manualLayout>
              <c:xMode val="edge"/>
              <c:yMode val="edge"/>
              <c:x val="1.1120764349689954E-2"/>
              <c:y val="0.36816782602242554"/>
            </c:manualLayout>
          </c:layout>
          <c:overlay val="0"/>
        </c:title>
        <c:numFmt formatCode="_-* #,##0_-;\-* #,##0_-;_-* &quot;-&quot;??_-;_-@_-" sourceLinked="1"/>
        <c:majorTickMark val="out"/>
        <c:minorTickMark val="none"/>
        <c:tickLblPos val="nextTo"/>
        <c:spPr>
          <a:noFill/>
          <a:ln>
            <a:prstDash val="sysDash"/>
          </a:ln>
        </c:spPr>
        <c:crossAx val="121005568"/>
        <c:crosses val="autoZero"/>
        <c:crossBetween val="between"/>
        <c:majorUnit val="250"/>
        <c:minorUnit val="100"/>
      </c:valAx>
    </c:plotArea>
    <c:plotVisOnly val="1"/>
    <c:dispBlanksAs val="gap"/>
    <c:showDLblsOverMax val="0"/>
  </c:chart>
  <c:spPr>
    <a:solidFill>
      <a:schemeClr val="bg1"/>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SSCCG : Summary QIPP plan 2016/17</a:t>
            </a:r>
          </a:p>
        </c:rich>
      </c:tx>
      <c:layout/>
      <c:overlay val="0"/>
    </c:title>
    <c:autoTitleDeleted val="0"/>
    <c:plotArea>
      <c:layout/>
      <c:barChart>
        <c:barDir val="col"/>
        <c:grouping val="stacked"/>
        <c:varyColors val="0"/>
        <c:ser>
          <c:idx val="0"/>
          <c:order val="0"/>
          <c:tx>
            <c:strRef>
              <c:f>SSCCG!$N$133:$P$133</c:f>
              <c:strCache>
                <c:ptCount val="1"/>
                <c:pt idx="0">
                  <c:v>Urgent Care system redesign plan</c:v>
                </c:pt>
              </c:strCache>
            </c:strRef>
          </c:tx>
          <c:invertIfNegative val="0"/>
          <c:cat>
            <c:strRef>
              <c:f>SSCCG!$Q$132:$AB$132</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SSCCG!$Q$133:$AB$133</c:f>
              <c:numCache>
                <c:formatCode>#,##0;\(#,##0\)</c:formatCode>
                <c:ptCount val="12"/>
                <c:pt idx="0">
                  <c:v>230.5</c:v>
                </c:pt>
                <c:pt idx="1">
                  <c:v>461</c:v>
                </c:pt>
                <c:pt idx="2">
                  <c:v>691.5</c:v>
                </c:pt>
                <c:pt idx="3">
                  <c:v>922</c:v>
                </c:pt>
                <c:pt idx="4">
                  <c:v>1163.5</c:v>
                </c:pt>
                <c:pt idx="5">
                  <c:v>1394</c:v>
                </c:pt>
                <c:pt idx="6">
                  <c:v>1630.5</c:v>
                </c:pt>
                <c:pt idx="7">
                  <c:v>1867</c:v>
                </c:pt>
                <c:pt idx="8">
                  <c:v>2104.5</c:v>
                </c:pt>
                <c:pt idx="9">
                  <c:v>2342</c:v>
                </c:pt>
                <c:pt idx="10">
                  <c:v>2579.5</c:v>
                </c:pt>
                <c:pt idx="11">
                  <c:v>2817</c:v>
                </c:pt>
              </c:numCache>
            </c:numRef>
          </c:val>
        </c:ser>
        <c:ser>
          <c:idx val="1"/>
          <c:order val="1"/>
          <c:tx>
            <c:strRef>
              <c:f>SSCCG!$N$134:$P$134</c:f>
              <c:strCache>
                <c:ptCount val="1"/>
                <c:pt idx="0">
                  <c:v>Discretionary spend plan</c:v>
                </c:pt>
              </c:strCache>
            </c:strRef>
          </c:tx>
          <c:invertIfNegative val="0"/>
          <c:cat>
            <c:strRef>
              <c:f>SSCCG!$Q$132:$AB$132</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SSCCG!$Q$134:$AB$134</c:f>
              <c:numCache>
                <c:formatCode>#,##0;\(#,##0\)</c:formatCode>
                <c:ptCount val="12"/>
                <c:pt idx="0">
                  <c:v>1479.0833333333333</c:v>
                </c:pt>
                <c:pt idx="1">
                  <c:v>1608.1666666666665</c:v>
                </c:pt>
                <c:pt idx="2">
                  <c:v>1700.2499999999998</c:v>
                </c:pt>
                <c:pt idx="3">
                  <c:v>2299.333333333333</c:v>
                </c:pt>
                <c:pt idx="4">
                  <c:v>2332.333333333333</c:v>
                </c:pt>
                <c:pt idx="5">
                  <c:v>2332.333333333333</c:v>
                </c:pt>
                <c:pt idx="6">
                  <c:v>2642.4999999999995</c:v>
                </c:pt>
                <c:pt idx="7">
                  <c:v>2646.6666666666661</c:v>
                </c:pt>
                <c:pt idx="8">
                  <c:v>2797.8333333333326</c:v>
                </c:pt>
                <c:pt idx="9">
                  <c:v>3158.9999999999991</c:v>
                </c:pt>
                <c:pt idx="10">
                  <c:v>3463.1666666666656</c:v>
                </c:pt>
                <c:pt idx="11">
                  <c:v>4211.3333333333321</c:v>
                </c:pt>
              </c:numCache>
            </c:numRef>
          </c:val>
        </c:ser>
        <c:ser>
          <c:idx val="2"/>
          <c:order val="2"/>
          <c:tx>
            <c:strRef>
              <c:f>SSCCG!$N$135:$P$135</c:f>
              <c:strCache>
                <c:ptCount val="1"/>
                <c:pt idx="0">
                  <c:v>CHC/FNC Plan</c:v>
                </c:pt>
              </c:strCache>
            </c:strRef>
          </c:tx>
          <c:invertIfNegative val="0"/>
          <c:cat>
            <c:strRef>
              <c:f>SSCCG!$Q$132:$AB$132</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SSCCG!$Q$135:$AB$135</c:f>
              <c:numCache>
                <c:formatCode>#,##0;\(#,##0\)</c:formatCode>
                <c:ptCount val="12"/>
                <c:pt idx="0">
                  <c:v>0</c:v>
                </c:pt>
                <c:pt idx="1">
                  <c:v>500</c:v>
                </c:pt>
                <c:pt idx="2">
                  <c:v>500</c:v>
                </c:pt>
                <c:pt idx="3">
                  <c:v>500</c:v>
                </c:pt>
                <c:pt idx="4">
                  <c:v>700</c:v>
                </c:pt>
                <c:pt idx="5">
                  <c:v>840</c:v>
                </c:pt>
                <c:pt idx="6">
                  <c:v>840</c:v>
                </c:pt>
                <c:pt idx="7">
                  <c:v>1025</c:v>
                </c:pt>
                <c:pt idx="8">
                  <c:v>1025</c:v>
                </c:pt>
                <c:pt idx="9">
                  <c:v>1035</c:v>
                </c:pt>
                <c:pt idx="10">
                  <c:v>1045</c:v>
                </c:pt>
                <c:pt idx="11">
                  <c:v>1055</c:v>
                </c:pt>
              </c:numCache>
            </c:numRef>
          </c:val>
        </c:ser>
        <c:ser>
          <c:idx val="3"/>
          <c:order val="3"/>
          <c:tx>
            <c:strRef>
              <c:f>SSCCG!$N$136:$P$136</c:f>
              <c:strCache>
                <c:ptCount val="1"/>
                <c:pt idx="0">
                  <c:v>Medicines optimisation plan</c:v>
                </c:pt>
              </c:strCache>
            </c:strRef>
          </c:tx>
          <c:invertIfNegative val="0"/>
          <c:cat>
            <c:strRef>
              <c:f>SSCCG!$Q$132:$AB$132</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SSCCG!$Q$136:$AB$136</c:f>
              <c:numCache>
                <c:formatCode>#,##0;\(#,##0\)</c:formatCode>
                <c:ptCount val="12"/>
                <c:pt idx="0">
                  <c:v>4.166666666666667</c:v>
                </c:pt>
                <c:pt idx="1">
                  <c:v>8.3333333333333339</c:v>
                </c:pt>
                <c:pt idx="2">
                  <c:v>46.5</c:v>
                </c:pt>
                <c:pt idx="3">
                  <c:v>141.33333333333334</c:v>
                </c:pt>
                <c:pt idx="4">
                  <c:v>206.16666666666669</c:v>
                </c:pt>
                <c:pt idx="5">
                  <c:v>276</c:v>
                </c:pt>
                <c:pt idx="6">
                  <c:v>468.16666666666663</c:v>
                </c:pt>
                <c:pt idx="7">
                  <c:v>660.33333333333326</c:v>
                </c:pt>
                <c:pt idx="8">
                  <c:v>852.49999999999989</c:v>
                </c:pt>
                <c:pt idx="9">
                  <c:v>1044.6666666666665</c:v>
                </c:pt>
                <c:pt idx="10">
                  <c:v>1236.8333333333333</c:v>
                </c:pt>
                <c:pt idx="11">
                  <c:v>1429</c:v>
                </c:pt>
              </c:numCache>
            </c:numRef>
          </c:val>
        </c:ser>
        <c:ser>
          <c:idx val="4"/>
          <c:order val="4"/>
          <c:tx>
            <c:strRef>
              <c:f>SSCCG!$N$137:$P$137</c:f>
              <c:strCache>
                <c:ptCount val="1"/>
                <c:pt idx="0">
                  <c:v>Planned care plan</c:v>
                </c:pt>
              </c:strCache>
            </c:strRef>
          </c:tx>
          <c:invertIfNegative val="0"/>
          <c:cat>
            <c:strRef>
              <c:f>SSCCG!$Q$132:$AB$132</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SSCCG!$Q$137:$AB$137</c:f>
              <c:numCache>
                <c:formatCode>#,##0;\(#,##0\)</c:formatCode>
                <c:ptCount val="12"/>
                <c:pt idx="0">
                  <c:v>262.08333333333331</c:v>
                </c:pt>
                <c:pt idx="1">
                  <c:v>269.16666666666663</c:v>
                </c:pt>
                <c:pt idx="2">
                  <c:v>276.24999999999994</c:v>
                </c:pt>
                <c:pt idx="3">
                  <c:v>283.33333333333326</c:v>
                </c:pt>
                <c:pt idx="4">
                  <c:v>399.41666666666657</c:v>
                </c:pt>
                <c:pt idx="5">
                  <c:v>430.49999999999989</c:v>
                </c:pt>
                <c:pt idx="6">
                  <c:v>441.41666666666657</c:v>
                </c:pt>
                <c:pt idx="7">
                  <c:v>472.73333333333323</c:v>
                </c:pt>
                <c:pt idx="8">
                  <c:v>572.44999999999993</c:v>
                </c:pt>
                <c:pt idx="9">
                  <c:v>672.16666666666663</c:v>
                </c:pt>
                <c:pt idx="10">
                  <c:v>771.88333333333333</c:v>
                </c:pt>
                <c:pt idx="11">
                  <c:v>871.6</c:v>
                </c:pt>
              </c:numCache>
            </c:numRef>
          </c:val>
        </c:ser>
        <c:dLbls>
          <c:showLegendKey val="0"/>
          <c:showVal val="0"/>
          <c:showCatName val="0"/>
          <c:showSerName val="0"/>
          <c:showPercent val="0"/>
          <c:showBubbleSize val="0"/>
        </c:dLbls>
        <c:gapWidth val="64"/>
        <c:overlap val="100"/>
        <c:axId val="129313408"/>
        <c:axId val="129324160"/>
      </c:barChart>
      <c:lineChart>
        <c:grouping val="standard"/>
        <c:varyColors val="0"/>
        <c:ser>
          <c:idx val="5"/>
          <c:order val="5"/>
          <c:tx>
            <c:strRef>
              <c:f>SSCCG!$N$138:$P$138</c:f>
              <c:strCache>
                <c:ptCount val="1"/>
                <c:pt idx="0">
                  <c:v>Target</c:v>
                </c:pt>
              </c:strCache>
            </c:strRef>
          </c:tx>
          <c:spPr>
            <a:ln>
              <a:solidFill>
                <a:srgbClr val="FF0000"/>
              </a:solidFill>
            </a:ln>
          </c:spPr>
          <c:marker>
            <c:symbol val="none"/>
          </c:marker>
          <c:cat>
            <c:strRef>
              <c:f>SSCCG!$Q$132:$AB$132</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SSCCG!$Q$138:$AB$138</c:f>
              <c:numCache>
                <c:formatCode>#,##0;\(#,##0\)</c:formatCode>
                <c:ptCount val="12"/>
                <c:pt idx="0">
                  <c:v>10384</c:v>
                </c:pt>
                <c:pt idx="1">
                  <c:v>10384</c:v>
                </c:pt>
                <c:pt idx="2">
                  <c:v>10384</c:v>
                </c:pt>
                <c:pt idx="3">
                  <c:v>10384</c:v>
                </c:pt>
                <c:pt idx="4">
                  <c:v>10384</c:v>
                </c:pt>
                <c:pt idx="5">
                  <c:v>10384</c:v>
                </c:pt>
                <c:pt idx="6">
                  <c:v>10384</c:v>
                </c:pt>
                <c:pt idx="7">
                  <c:v>10384</c:v>
                </c:pt>
                <c:pt idx="8">
                  <c:v>10384</c:v>
                </c:pt>
                <c:pt idx="9">
                  <c:v>10384</c:v>
                </c:pt>
                <c:pt idx="10">
                  <c:v>10384</c:v>
                </c:pt>
                <c:pt idx="11">
                  <c:v>10384</c:v>
                </c:pt>
              </c:numCache>
            </c:numRef>
          </c:val>
          <c:smooth val="0"/>
        </c:ser>
        <c:ser>
          <c:idx val="6"/>
          <c:order val="6"/>
          <c:spPr>
            <a:ln>
              <a:solidFill>
                <a:schemeClr val="tx1"/>
              </a:solidFill>
            </a:ln>
          </c:spPr>
          <c:marker>
            <c:symbol val="diamond"/>
            <c:size val="5"/>
            <c:spPr>
              <a:solidFill>
                <a:schemeClr val="tx1"/>
              </a:solidFill>
            </c:spPr>
          </c:marker>
          <c:val>
            <c:numRef>
              <c:f>SSCCG!$AQ$138:$AZ$138</c:f>
              <c:numCache>
                <c:formatCode>#,##0;\(#,##0\)</c:formatCode>
                <c:ptCount val="10"/>
                <c:pt idx="0">
                  <c:v>125</c:v>
                </c:pt>
                <c:pt idx="1">
                  <c:v>2363</c:v>
                </c:pt>
                <c:pt idx="2">
                  <c:v>2431</c:v>
                </c:pt>
                <c:pt idx="3">
                  <c:v>3114</c:v>
                </c:pt>
                <c:pt idx="4">
                  <c:v>3466.67</c:v>
                </c:pt>
                <c:pt idx="5">
                  <c:v>3607.07</c:v>
                </c:pt>
                <c:pt idx="6">
                  <c:v>4087.07</c:v>
                </c:pt>
                <c:pt idx="7">
                  <c:v>4642.07</c:v>
                </c:pt>
                <c:pt idx="8">
                  <c:v>4905.07</c:v>
                </c:pt>
                <c:pt idx="9">
                  <c:v>5020.07</c:v>
                </c:pt>
              </c:numCache>
            </c:numRef>
          </c:val>
          <c:smooth val="0"/>
        </c:ser>
        <c:dLbls>
          <c:showLegendKey val="0"/>
          <c:showVal val="0"/>
          <c:showCatName val="0"/>
          <c:showSerName val="0"/>
          <c:showPercent val="0"/>
          <c:showBubbleSize val="0"/>
        </c:dLbls>
        <c:marker val="1"/>
        <c:smooth val="0"/>
        <c:axId val="129313408"/>
        <c:axId val="129324160"/>
      </c:lineChart>
      <c:catAx>
        <c:axId val="129313408"/>
        <c:scaling>
          <c:orientation val="minMax"/>
        </c:scaling>
        <c:delete val="0"/>
        <c:axPos val="b"/>
        <c:title>
          <c:tx>
            <c:rich>
              <a:bodyPr/>
              <a:lstStyle/>
              <a:p>
                <a:pPr>
                  <a:defRPr/>
                </a:pPr>
                <a:r>
                  <a:rPr lang="en-US"/>
                  <a:t>Month 10 2016/17</a:t>
                </a:r>
              </a:p>
            </c:rich>
          </c:tx>
          <c:layout/>
          <c:overlay val="0"/>
        </c:title>
        <c:majorTickMark val="out"/>
        <c:minorTickMark val="none"/>
        <c:tickLblPos val="nextTo"/>
        <c:crossAx val="129324160"/>
        <c:crosses val="autoZero"/>
        <c:auto val="1"/>
        <c:lblAlgn val="ctr"/>
        <c:lblOffset val="100"/>
        <c:noMultiLvlLbl val="0"/>
      </c:catAx>
      <c:valAx>
        <c:axId val="129324160"/>
        <c:scaling>
          <c:orientation val="minMax"/>
        </c:scaling>
        <c:delete val="0"/>
        <c:axPos val="l"/>
        <c:majorGridlines/>
        <c:minorGridlines/>
        <c:title>
          <c:tx>
            <c:rich>
              <a:bodyPr rot="-5400000" vert="horz"/>
              <a:lstStyle/>
              <a:p>
                <a:pPr>
                  <a:defRPr/>
                </a:pPr>
                <a:r>
                  <a:rPr lang="en-GB"/>
                  <a:t>Cumulative QIPP savings £'000s</a:t>
                </a:r>
              </a:p>
            </c:rich>
          </c:tx>
          <c:layout/>
          <c:overlay val="0"/>
        </c:title>
        <c:numFmt formatCode="#,##0;\(#,##0\)" sourceLinked="1"/>
        <c:majorTickMark val="out"/>
        <c:minorTickMark val="none"/>
        <c:tickLblPos val="nextTo"/>
        <c:crossAx val="129313408"/>
        <c:crosses val="autoZero"/>
        <c:crossBetween val="between"/>
      </c:valAx>
    </c:plotArea>
    <c:legend>
      <c:legendPos val="b"/>
      <c:layout>
        <c:manualLayout>
          <c:xMode val="edge"/>
          <c:yMode val="edge"/>
          <c:x val="3.1707795612676497E-2"/>
          <c:y val="0.75978525136470942"/>
          <c:w val="0.95212973220607799"/>
          <c:h val="0.2006747437372620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87EFC-A569-481F-9657-733A64AA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3488</Words>
  <Characters>18632</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NHS Sefton</Company>
  <LinksUpToDate>false</LinksUpToDate>
  <CharactersWithSpaces>22076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Byrne</dc:creator>
  <cp:lastModifiedBy>Rebecca McCullough</cp:lastModifiedBy>
  <cp:revision>4</cp:revision>
  <cp:lastPrinted>2016-08-16T11:07:00Z</cp:lastPrinted>
  <dcterms:created xsi:type="dcterms:W3CDTF">2017-02-10T17:17:00Z</dcterms:created>
  <dcterms:modified xsi:type="dcterms:W3CDTF">2017-02-23T10:50:00Z</dcterms:modified>
</cp:coreProperties>
</file>