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3599" w:rsidRPr="00E812BA" w:rsidTr="001E2729">
        <w:trPr>
          <w:trHeight w:val="1833"/>
        </w:trPr>
        <w:tc>
          <w:tcPr>
            <w:tcW w:w="9242" w:type="dxa"/>
          </w:tcPr>
          <w:p w:rsidR="00963599" w:rsidRPr="00E812BA" w:rsidRDefault="00963599" w:rsidP="00963599">
            <w:pPr>
              <w:jc w:val="right"/>
              <w:rPr>
                <w:rFonts w:cstheme="minorHAnsi"/>
                <w:b/>
                <w:sz w:val="28"/>
              </w:rPr>
            </w:pPr>
            <w:r w:rsidRPr="00E812BA">
              <w:rPr>
                <w:rFonts w:cstheme="minorHAnsi"/>
                <w:b/>
                <w:sz w:val="28"/>
              </w:rPr>
              <w:t>NHS Halton Clinical Commissioning Group</w:t>
            </w:r>
          </w:p>
          <w:p w:rsidR="00963599" w:rsidRPr="00E812BA" w:rsidRDefault="00963599" w:rsidP="00963599">
            <w:pPr>
              <w:jc w:val="right"/>
              <w:rPr>
                <w:rFonts w:cstheme="minorHAnsi"/>
                <w:b/>
                <w:sz w:val="28"/>
              </w:rPr>
            </w:pPr>
            <w:r w:rsidRPr="00E812BA">
              <w:rPr>
                <w:rFonts w:cstheme="minorHAnsi"/>
                <w:b/>
                <w:sz w:val="28"/>
              </w:rPr>
              <w:t>NHS Liverpool Clinical Commissioning Group</w:t>
            </w:r>
          </w:p>
          <w:p w:rsidR="00963599" w:rsidRPr="00E812BA" w:rsidRDefault="00963599" w:rsidP="00963599">
            <w:pPr>
              <w:jc w:val="right"/>
              <w:rPr>
                <w:rFonts w:cstheme="minorHAnsi"/>
                <w:b/>
                <w:sz w:val="28"/>
              </w:rPr>
            </w:pPr>
            <w:r w:rsidRPr="00E812BA">
              <w:rPr>
                <w:rFonts w:cstheme="minorHAnsi"/>
                <w:b/>
                <w:sz w:val="28"/>
              </w:rPr>
              <w:t>NHS St Helens Clinical Commissioning Group</w:t>
            </w:r>
          </w:p>
          <w:p w:rsidR="00963599" w:rsidRPr="00E812BA" w:rsidRDefault="00963599" w:rsidP="00963599">
            <w:pPr>
              <w:jc w:val="right"/>
              <w:rPr>
                <w:rFonts w:cstheme="minorHAnsi"/>
                <w:b/>
                <w:sz w:val="28"/>
              </w:rPr>
            </w:pPr>
            <w:r w:rsidRPr="00E812BA">
              <w:rPr>
                <w:rFonts w:cstheme="minorHAnsi"/>
                <w:b/>
                <w:sz w:val="28"/>
              </w:rPr>
              <w:t>NHS South Sefton Clinical Commissioning Group</w:t>
            </w:r>
          </w:p>
          <w:p w:rsidR="00963599" w:rsidRPr="00E812BA" w:rsidRDefault="00963599" w:rsidP="00963599">
            <w:pPr>
              <w:jc w:val="right"/>
              <w:rPr>
                <w:rFonts w:cstheme="minorHAnsi"/>
                <w:b/>
                <w:sz w:val="28"/>
              </w:rPr>
            </w:pPr>
            <w:r w:rsidRPr="00E812BA">
              <w:rPr>
                <w:rFonts w:cstheme="minorHAnsi"/>
                <w:b/>
                <w:sz w:val="28"/>
              </w:rPr>
              <w:t>NHS Southport and Formby Clinical Commissioning Group</w:t>
            </w:r>
          </w:p>
          <w:p w:rsidR="001F312A" w:rsidRPr="00E812BA" w:rsidRDefault="001F312A" w:rsidP="00963599">
            <w:pPr>
              <w:jc w:val="right"/>
              <w:rPr>
                <w:rFonts w:cstheme="minorHAnsi"/>
                <w:b/>
                <w:sz w:val="28"/>
              </w:rPr>
            </w:pPr>
            <w:r w:rsidRPr="00E812BA">
              <w:rPr>
                <w:rFonts w:cstheme="minorHAnsi"/>
                <w:b/>
                <w:sz w:val="28"/>
              </w:rPr>
              <w:t>NHS Warrington Clinical Commissioning Group</w:t>
            </w:r>
          </w:p>
        </w:tc>
      </w:tr>
      <w:tr w:rsidR="00963599" w:rsidRPr="00071F66" w:rsidTr="001E2729">
        <w:tc>
          <w:tcPr>
            <w:tcW w:w="9242" w:type="dxa"/>
          </w:tcPr>
          <w:p w:rsidR="00963599" w:rsidRPr="00071F66" w:rsidRDefault="00963599" w:rsidP="001713B7">
            <w:pPr>
              <w:rPr>
                <w:rFonts w:cstheme="minorHAnsi"/>
              </w:rPr>
            </w:pPr>
          </w:p>
          <w:p w:rsidR="00963599" w:rsidRPr="00071F66" w:rsidRDefault="009F1221" w:rsidP="002E06A4">
            <w:pPr>
              <w:jc w:val="center"/>
              <w:rPr>
                <w:rFonts w:cstheme="minorHAnsi"/>
              </w:rPr>
            </w:pPr>
            <w:r w:rsidRPr="00071F66">
              <w:rPr>
                <w:rFonts w:cstheme="minorHAnsi"/>
                <w:b/>
                <w:sz w:val="44"/>
                <w:szCs w:val="44"/>
              </w:rPr>
              <w:t>Policy for Secondary Care administered steroid Peripheral Joint Injections</w:t>
            </w:r>
          </w:p>
        </w:tc>
      </w:tr>
      <w:tr w:rsidR="00963599" w:rsidRPr="00071F66" w:rsidTr="001E2729">
        <w:tc>
          <w:tcPr>
            <w:tcW w:w="9242" w:type="dxa"/>
          </w:tcPr>
          <w:p w:rsidR="00963599" w:rsidRPr="00071F66" w:rsidRDefault="00963599" w:rsidP="001713B7">
            <w:pPr>
              <w:rPr>
                <w:rFonts w:cstheme="minorHAnsi"/>
                <w:sz w:val="24"/>
                <w:szCs w:val="24"/>
              </w:rPr>
            </w:pPr>
          </w:p>
          <w:p w:rsidR="00445646" w:rsidRPr="00071F66" w:rsidRDefault="007772F4" w:rsidP="00445646">
            <w:pPr>
              <w:rPr>
                <w:rFonts w:cstheme="minorHAnsi"/>
                <w:sz w:val="24"/>
                <w:szCs w:val="24"/>
              </w:rPr>
            </w:pPr>
            <w:r w:rsidRPr="00071F66">
              <w:rPr>
                <w:rFonts w:cstheme="minorHAnsi"/>
                <w:sz w:val="24"/>
                <w:szCs w:val="24"/>
              </w:rPr>
              <w:t xml:space="preserve">Steroids are a man-made version of hormones that are made naturally in the body. When injected into the body they can reduce inflammation (swelling). This can help to stop pain and ease </w:t>
            </w:r>
            <w:r w:rsidR="002F0EEB" w:rsidRPr="00071F66">
              <w:rPr>
                <w:rFonts w:cstheme="minorHAnsi"/>
                <w:sz w:val="24"/>
                <w:szCs w:val="24"/>
              </w:rPr>
              <w:t>stiffness,</w:t>
            </w:r>
            <w:r w:rsidRPr="00071F66">
              <w:rPr>
                <w:rFonts w:cstheme="minorHAnsi"/>
                <w:sz w:val="24"/>
                <w:szCs w:val="24"/>
              </w:rPr>
              <w:t xml:space="preserve"> so steroids are often used to treat joint pain and arthritis. </w:t>
            </w:r>
          </w:p>
          <w:p w:rsidR="007772F4" w:rsidRPr="00071F66" w:rsidRDefault="007772F4" w:rsidP="004456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B5F6E" w:rsidRPr="00071F66" w:rsidRDefault="009B5F6E">
      <w:pPr>
        <w:rPr>
          <w:rFonts w:cstheme="minorHAnsi"/>
          <w:b/>
          <w:sz w:val="24"/>
          <w:szCs w:val="24"/>
        </w:rPr>
      </w:pPr>
      <w:r w:rsidRPr="00071F66">
        <w:rPr>
          <w:rFonts w:cstheme="minorHAnsi"/>
          <w:b/>
          <w:sz w:val="24"/>
          <w:szCs w:val="24"/>
        </w:rPr>
        <w:t>PROPOSED REVISED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63599" w:rsidRPr="00071F66" w:rsidTr="00125242">
        <w:tc>
          <w:tcPr>
            <w:tcW w:w="2376" w:type="dxa"/>
            <w:shd w:val="clear" w:color="auto" w:fill="8DB3E2" w:themeFill="text2" w:themeFillTint="66"/>
          </w:tcPr>
          <w:p w:rsidR="00963599" w:rsidRPr="00071F66" w:rsidRDefault="00963599" w:rsidP="001E2729">
            <w:pPr>
              <w:tabs>
                <w:tab w:val="left" w:pos="1740"/>
              </w:tabs>
              <w:rPr>
                <w:rFonts w:cstheme="minorHAnsi"/>
                <w:b/>
                <w:sz w:val="24"/>
                <w:szCs w:val="24"/>
              </w:rPr>
            </w:pPr>
            <w:r w:rsidRPr="00071F66">
              <w:rPr>
                <w:rFonts w:cstheme="minorHAnsi"/>
                <w:b/>
                <w:sz w:val="24"/>
                <w:szCs w:val="24"/>
              </w:rPr>
              <w:t xml:space="preserve">Intervention </w:t>
            </w:r>
            <w:r w:rsidR="001E2729" w:rsidRPr="00071F6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866" w:type="dxa"/>
            <w:shd w:val="clear" w:color="auto" w:fill="8DB3E2" w:themeFill="text2" w:themeFillTint="66"/>
          </w:tcPr>
          <w:p w:rsidR="00963599" w:rsidRPr="00071F66" w:rsidRDefault="00E041B6" w:rsidP="00E91FFE">
            <w:pPr>
              <w:keepNext/>
              <w:keepLines/>
              <w:widowControl w:val="0"/>
              <w:outlineLvl w:val="2"/>
              <w:rPr>
                <w:rFonts w:cstheme="minorHAnsi"/>
                <w:b/>
                <w:sz w:val="24"/>
                <w:szCs w:val="24"/>
              </w:rPr>
            </w:pPr>
            <w:r w:rsidRPr="00071F66">
              <w:rPr>
                <w:rFonts w:cstheme="minorHAnsi"/>
                <w:b/>
                <w:sz w:val="24"/>
                <w:szCs w:val="24"/>
              </w:rPr>
              <w:t>Secondary Care administered steroid Peripheral Joint Injections</w:t>
            </w:r>
          </w:p>
        </w:tc>
      </w:tr>
      <w:tr w:rsidR="00672454" w:rsidRPr="00071F66" w:rsidTr="00125242">
        <w:trPr>
          <w:trHeight w:val="408"/>
        </w:trPr>
        <w:tc>
          <w:tcPr>
            <w:tcW w:w="2376" w:type="dxa"/>
          </w:tcPr>
          <w:p w:rsidR="00672454" w:rsidRPr="00071F66" w:rsidRDefault="00F44BEA" w:rsidP="00B16B78">
            <w:pPr>
              <w:rPr>
                <w:rFonts w:cstheme="minorHAnsi"/>
                <w:b/>
                <w:sz w:val="24"/>
                <w:szCs w:val="24"/>
              </w:rPr>
            </w:pPr>
            <w:r w:rsidRPr="00071F66">
              <w:rPr>
                <w:rFonts w:cstheme="minorHAnsi"/>
                <w:b/>
                <w:sz w:val="24"/>
                <w:szCs w:val="24"/>
              </w:rPr>
              <w:t>Policy Statement</w:t>
            </w:r>
          </w:p>
        </w:tc>
        <w:tc>
          <w:tcPr>
            <w:tcW w:w="6866" w:type="dxa"/>
          </w:tcPr>
          <w:p w:rsidR="00672454" w:rsidRPr="00071F66" w:rsidRDefault="00E91FFE" w:rsidP="00E91FFE">
            <w:pPr>
              <w:rPr>
                <w:rFonts w:cstheme="minorHAnsi"/>
                <w:b/>
                <w:sz w:val="24"/>
                <w:szCs w:val="24"/>
              </w:rPr>
            </w:pPr>
            <w:r w:rsidRPr="00071F66">
              <w:rPr>
                <w:rFonts w:cstheme="minorHAnsi"/>
                <w:b/>
                <w:sz w:val="24"/>
                <w:szCs w:val="24"/>
              </w:rPr>
              <w:t>Restricted</w:t>
            </w:r>
          </w:p>
        </w:tc>
      </w:tr>
      <w:tr w:rsidR="00963599" w:rsidRPr="00071F66" w:rsidTr="00A222F2">
        <w:trPr>
          <w:trHeight w:val="1124"/>
        </w:trPr>
        <w:tc>
          <w:tcPr>
            <w:tcW w:w="2376" w:type="dxa"/>
          </w:tcPr>
          <w:p w:rsidR="00963599" w:rsidRPr="00071F66" w:rsidRDefault="00963599" w:rsidP="001713B7">
            <w:pPr>
              <w:rPr>
                <w:rFonts w:cstheme="minorHAnsi"/>
                <w:b/>
                <w:sz w:val="24"/>
                <w:szCs w:val="24"/>
              </w:rPr>
            </w:pPr>
            <w:r w:rsidRPr="00071F66">
              <w:rPr>
                <w:rFonts w:cstheme="minorHAnsi"/>
                <w:b/>
                <w:sz w:val="24"/>
                <w:szCs w:val="24"/>
              </w:rPr>
              <w:t>Minimum eligibility criteria</w:t>
            </w:r>
          </w:p>
        </w:tc>
        <w:tc>
          <w:tcPr>
            <w:tcW w:w="6866" w:type="dxa"/>
          </w:tcPr>
          <w:p w:rsidR="004E146D" w:rsidRPr="00071F66" w:rsidRDefault="004E146D" w:rsidP="004E146D">
            <w:pPr>
              <w:rPr>
                <w:rFonts w:cstheme="minorHAnsi"/>
                <w:sz w:val="24"/>
                <w:szCs w:val="24"/>
              </w:rPr>
            </w:pPr>
            <w:r w:rsidRPr="00071F66">
              <w:rPr>
                <w:rFonts w:cstheme="minorHAnsi"/>
                <w:sz w:val="24"/>
                <w:szCs w:val="24"/>
              </w:rPr>
              <w:t xml:space="preserve">It is expected that the steroid injection is performed in </w:t>
            </w:r>
            <w:r w:rsidR="0081101A">
              <w:rPr>
                <w:rFonts w:cstheme="minorHAnsi"/>
                <w:sz w:val="24"/>
                <w:szCs w:val="24"/>
              </w:rPr>
              <w:t>locally commissioned</w:t>
            </w:r>
            <w:r w:rsidRPr="00071F66">
              <w:rPr>
                <w:rFonts w:cstheme="minorHAnsi"/>
                <w:sz w:val="24"/>
                <w:szCs w:val="24"/>
              </w:rPr>
              <w:t xml:space="preserve"> </w:t>
            </w:r>
            <w:r w:rsidR="0081101A">
              <w:rPr>
                <w:rFonts w:cstheme="minorHAnsi"/>
                <w:sz w:val="24"/>
                <w:szCs w:val="24"/>
              </w:rPr>
              <w:t xml:space="preserve">services </w:t>
            </w:r>
            <w:r w:rsidRPr="00071F66">
              <w:rPr>
                <w:rFonts w:cstheme="minorHAnsi"/>
                <w:sz w:val="24"/>
                <w:szCs w:val="24"/>
              </w:rPr>
              <w:t>either by the patient’s own GP Practice, or another Practice able to perform the injection unless:</w:t>
            </w:r>
          </w:p>
          <w:p w:rsidR="004E146D" w:rsidRPr="00071F66" w:rsidRDefault="004E146D" w:rsidP="004E146D">
            <w:pPr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071F66">
              <w:rPr>
                <w:rFonts w:cstheme="minorHAnsi"/>
                <w:sz w:val="24"/>
                <w:szCs w:val="24"/>
              </w:rPr>
              <w:t xml:space="preserve">The recommended number of landmark-sited injections have been undertaken in </w:t>
            </w:r>
            <w:r w:rsidR="0081101A">
              <w:rPr>
                <w:rFonts w:cstheme="minorHAnsi"/>
                <w:sz w:val="24"/>
                <w:szCs w:val="24"/>
              </w:rPr>
              <w:t>locally commissioned</w:t>
            </w:r>
            <w:r w:rsidRPr="00071F66">
              <w:rPr>
                <w:rFonts w:cstheme="minorHAnsi"/>
                <w:sz w:val="24"/>
                <w:szCs w:val="24"/>
              </w:rPr>
              <w:t xml:space="preserve"> </w:t>
            </w:r>
            <w:r w:rsidR="0081101A">
              <w:rPr>
                <w:rFonts w:cstheme="minorHAnsi"/>
                <w:sz w:val="24"/>
                <w:szCs w:val="24"/>
              </w:rPr>
              <w:t xml:space="preserve">services </w:t>
            </w:r>
            <w:r w:rsidRPr="00071F66">
              <w:rPr>
                <w:rFonts w:cstheme="minorHAnsi"/>
                <w:sz w:val="24"/>
                <w:szCs w:val="24"/>
              </w:rPr>
              <w:t>have failed</w:t>
            </w:r>
          </w:p>
          <w:p w:rsidR="004E146D" w:rsidRPr="00071F66" w:rsidRDefault="004E146D" w:rsidP="004E146D">
            <w:pPr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071F66">
              <w:rPr>
                <w:rFonts w:cstheme="minorHAnsi"/>
                <w:sz w:val="24"/>
                <w:szCs w:val="24"/>
              </w:rPr>
              <w:t>A single ‘blind’ attempt has been made and failed in those with indiscernible landmarks</w:t>
            </w:r>
          </w:p>
          <w:p w:rsidR="004E146D" w:rsidRPr="00071F66" w:rsidRDefault="004E146D" w:rsidP="004E146D">
            <w:pPr>
              <w:rPr>
                <w:rFonts w:cstheme="minorHAnsi"/>
                <w:sz w:val="24"/>
                <w:szCs w:val="24"/>
              </w:rPr>
            </w:pPr>
            <w:r w:rsidRPr="00071F66">
              <w:rPr>
                <w:rFonts w:cstheme="minorHAnsi"/>
                <w:sz w:val="24"/>
                <w:szCs w:val="24"/>
              </w:rPr>
              <w:t>Practices that are unable to provide an ‘in-house’ MSK steroid injection are able to refer to other Practices for the MSK steroid injections</w:t>
            </w:r>
            <w:r w:rsidR="003D1B35">
              <w:rPr>
                <w:rFonts w:cstheme="minorHAnsi"/>
                <w:sz w:val="24"/>
                <w:szCs w:val="24"/>
              </w:rPr>
              <w:t>.</w:t>
            </w:r>
          </w:p>
          <w:p w:rsidR="004E146D" w:rsidRPr="00071F66" w:rsidRDefault="004E146D" w:rsidP="004E146D">
            <w:pPr>
              <w:rPr>
                <w:rFonts w:cstheme="minorHAnsi"/>
                <w:sz w:val="24"/>
                <w:szCs w:val="24"/>
              </w:rPr>
            </w:pPr>
          </w:p>
          <w:p w:rsidR="004E146D" w:rsidRPr="00071F66" w:rsidRDefault="004E146D" w:rsidP="004E146D">
            <w:pPr>
              <w:rPr>
                <w:rFonts w:cstheme="minorHAnsi"/>
                <w:sz w:val="24"/>
                <w:szCs w:val="24"/>
              </w:rPr>
            </w:pPr>
            <w:r w:rsidRPr="00071F66">
              <w:rPr>
                <w:rFonts w:cstheme="minorHAnsi"/>
                <w:sz w:val="24"/>
                <w:szCs w:val="24"/>
              </w:rPr>
              <w:t xml:space="preserve">Provision of joint injections for pain in Secondary care will only be commissioned in the following circumstances: </w:t>
            </w:r>
          </w:p>
          <w:p w:rsidR="004E146D" w:rsidRPr="00071F66" w:rsidRDefault="004E146D" w:rsidP="004E146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071F66">
              <w:rPr>
                <w:rFonts w:cstheme="minorHAnsi"/>
                <w:sz w:val="24"/>
                <w:szCs w:val="24"/>
              </w:rPr>
              <w:t xml:space="preserve">Failed steroid injection in </w:t>
            </w:r>
            <w:r w:rsidR="0081101A">
              <w:rPr>
                <w:rFonts w:cstheme="minorHAnsi"/>
                <w:sz w:val="24"/>
                <w:szCs w:val="24"/>
              </w:rPr>
              <w:t>locally commissioned</w:t>
            </w:r>
            <w:r w:rsidRPr="00071F66">
              <w:rPr>
                <w:rFonts w:cstheme="minorHAnsi"/>
                <w:sz w:val="24"/>
                <w:szCs w:val="24"/>
              </w:rPr>
              <w:t xml:space="preserve"> </w:t>
            </w:r>
            <w:r w:rsidR="0081101A">
              <w:rPr>
                <w:rFonts w:cstheme="minorHAnsi"/>
                <w:sz w:val="24"/>
                <w:szCs w:val="24"/>
              </w:rPr>
              <w:t xml:space="preserve">services </w:t>
            </w:r>
            <w:r w:rsidRPr="00071F66">
              <w:rPr>
                <w:rFonts w:cstheme="minorHAnsi"/>
                <w:sz w:val="24"/>
                <w:szCs w:val="24"/>
              </w:rPr>
              <w:t xml:space="preserve">or inappropriate to be performed in a </w:t>
            </w:r>
            <w:r w:rsidR="0081101A">
              <w:rPr>
                <w:rFonts w:cstheme="minorHAnsi"/>
                <w:sz w:val="24"/>
                <w:szCs w:val="24"/>
              </w:rPr>
              <w:t xml:space="preserve">locally commissioned service </w:t>
            </w:r>
            <w:r w:rsidRPr="00071F66">
              <w:rPr>
                <w:rFonts w:cstheme="minorHAnsi"/>
                <w:sz w:val="24"/>
                <w:szCs w:val="24"/>
              </w:rPr>
              <w:t>setting.</w:t>
            </w:r>
          </w:p>
          <w:p w:rsidR="004E146D" w:rsidRPr="00071F66" w:rsidRDefault="004E146D" w:rsidP="004E146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071F66">
              <w:rPr>
                <w:rFonts w:cstheme="minorHAnsi"/>
                <w:sz w:val="24"/>
                <w:szCs w:val="24"/>
              </w:rPr>
              <w:t>Injections due to the need for image guidance. (See below)</w:t>
            </w:r>
          </w:p>
          <w:p w:rsidR="004E146D" w:rsidRPr="00071F66" w:rsidRDefault="004E146D" w:rsidP="004E146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071F66">
              <w:rPr>
                <w:rFonts w:cstheme="minorHAnsi"/>
                <w:sz w:val="24"/>
                <w:szCs w:val="24"/>
              </w:rPr>
              <w:t xml:space="preserve">Only one injection will be commissioned as a diagnostic procedure if not undertaken already in </w:t>
            </w:r>
            <w:r w:rsidR="0081101A">
              <w:rPr>
                <w:rFonts w:cstheme="minorHAnsi"/>
                <w:sz w:val="24"/>
                <w:szCs w:val="24"/>
              </w:rPr>
              <w:t>locally commissioned services</w:t>
            </w:r>
            <w:r w:rsidRPr="00071F66">
              <w:rPr>
                <w:rFonts w:cstheme="minorHAnsi"/>
                <w:sz w:val="24"/>
                <w:szCs w:val="24"/>
              </w:rPr>
              <w:t xml:space="preserve"> if surgery on a specific joint is likely to be indicated. Repeat injections will not be commissioned.</w:t>
            </w:r>
          </w:p>
          <w:p w:rsidR="004E146D" w:rsidRPr="00071F66" w:rsidRDefault="004E146D" w:rsidP="004E146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E2729" w:rsidRPr="00071F66" w:rsidRDefault="004E146D" w:rsidP="000F062D">
            <w:pPr>
              <w:rPr>
                <w:rFonts w:cstheme="minorHAnsi"/>
                <w:sz w:val="24"/>
                <w:szCs w:val="24"/>
              </w:rPr>
            </w:pPr>
            <w:r w:rsidRPr="00071F66">
              <w:rPr>
                <w:rFonts w:cstheme="minorHAnsi"/>
                <w:sz w:val="24"/>
                <w:szCs w:val="24"/>
              </w:rPr>
              <w:t xml:space="preserve">Injections that are provided in secondary care must </w:t>
            </w:r>
            <w:r w:rsidRPr="00071F66">
              <w:rPr>
                <w:rFonts w:cstheme="minorHAnsi"/>
                <w:bCs/>
                <w:sz w:val="24"/>
                <w:szCs w:val="24"/>
                <w:u w:val="single"/>
              </w:rPr>
              <w:t>only</w:t>
            </w:r>
            <w:r w:rsidRPr="00071F66">
              <w:rPr>
                <w:rFonts w:cstheme="minorHAnsi"/>
                <w:sz w:val="24"/>
                <w:szCs w:val="24"/>
              </w:rPr>
              <w:t xml:space="preserve"> be done within an Outpatient Department clinic setting or under ultrasound control in a radiology department if clinically indicated (for example uncertain site of inflammation, previous landmark-sited injection has failed or landmarks indiscernible). These will only attract the relevant OPD tariff and day case is not commissioned.</w:t>
            </w:r>
          </w:p>
        </w:tc>
      </w:tr>
      <w:tr w:rsidR="00672454" w:rsidRPr="00071F66" w:rsidTr="00125242">
        <w:trPr>
          <w:trHeight w:val="895"/>
        </w:trPr>
        <w:tc>
          <w:tcPr>
            <w:tcW w:w="2376" w:type="dxa"/>
          </w:tcPr>
          <w:p w:rsidR="00672454" w:rsidRPr="00071F66" w:rsidRDefault="00672454" w:rsidP="001713B7">
            <w:pPr>
              <w:rPr>
                <w:rFonts w:cstheme="minorHAnsi"/>
                <w:b/>
                <w:sz w:val="24"/>
                <w:szCs w:val="24"/>
              </w:rPr>
            </w:pPr>
            <w:r w:rsidRPr="00071F66">
              <w:rPr>
                <w:rFonts w:cstheme="minorHAnsi"/>
                <w:b/>
                <w:sz w:val="24"/>
                <w:szCs w:val="24"/>
              </w:rPr>
              <w:t>Rationale</w:t>
            </w:r>
          </w:p>
        </w:tc>
        <w:tc>
          <w:tcPr>
            <w:tcW w:w="6866" w:type="dxa"/>
          </w:tcPr>
          <w:p w:rsidR="00075B45" w:rsidRPr="00071F66" w:rsidRDefault="00075B45" w:rsidP="003D200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Steroid injections can </w:t>
            </w:r>
            <w:r w:rsidRPr="00071F66">
              <w:rPr>
                <w:rFonts w:cstheme="minorHAnsi"/>
              </w:rPr>
              <w:t>help to stop pain and ease stiffness</w:t>
            </w:r>
            <w:r w:rsidR="003579AC">
              <w:rPr>
                <w:rFonts w:cstheme="minorHAnsi"/>
              </w:rPr>
              <w:t xml:space="preserve"> however CCGs expect that steroid injections are given in </w:t>
            </w:r>
            <w:r w:rsidR="0081101A">
              <w:rPr>
                <w:rFonts w:cstheme="minorHAnsi"/>
              </w:rPr>
              <w:t>locally commissioned services</w:t>
            </w:r>
            <w:r w:rsidR="003579AC">
              <w:rPr>
                <w:rFonts w:cstheme="minorHAnsi"/>
              </w:rPr>
              <w:t>. Injections given in secondary care must meet the eligibility criteria outlined above.</w:t>
            </w:r>
          </w:p>
        </w:tc>
      </w:tr>
      <w:tr w:rsidR="00125242" w:rsidRPr="00071F66" w:rsidTr="00125242">
        <w:trPr>
          <w:trHeight w:val="895"/>
        </w:trPr>
        <w:tc>
          <w:tcPr>
            <w:tcW w:w="2376" w:type="dxa"/>
          </w:tcPr>
          <w:p w:rsidR="00125242" w:rsidRPr="007D7B50" w:rsidRDefault="00125242" w:rsidP="0012524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7D7B50">
              <w:rPr>
                <w:rFonts w:asciiTheme="minorHAnsi" w:hAnsiTheme="minorHAnsi" w:cstheme="minorHAnsi"/>
                <w:b/>
                <w:bCs/>
              </w:rPr>
              <w:t xml:space="preserve">Evidence for inclusion and threshold </w:t>
            </w:r>
          </w:p>
          <w:p w:rsidR="00125242" w:rsidRPr="007D7B50" w:rsidRDefault="00125242" w:rsidP="00171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DA5577" w:rsidRPr="007D7B50" w:rsidRDefault="007D7B50" w:rsidP="00E041B6">
            <w:pPr>
              <w:pStyle w:val="Default"/>
              <w:rPr>
                <w:rFonts w:asciiTheme="minorHAnsi" w:hAnsiTheme="minorHAnsi" w:cstheme="minorHAnsi"/>
              </w:rPr>
            </w:pPr>
            <w:r w:rsidRPr="007D7B50">
              <w:rPr>
                <w:rFonts w:asciiTheme="minorHAnsi" w:hAnsiTheme="minorHAnsi" w:cstheme="minorHAnsi"/>
              </w:rPr>
              <w:t xml:space="preserve">NHS Choices - </w:t>
            </w:r>
            <w:r w:rsidRPr="007D7B50">
              <w:rPr>
                <w:lang w:val="en"/>
              </w:rPr>
              <w:t>Steroid injections</w:t>
            </w:r>
          </w:p>
          <w:p w:rsidR="00DA5577" w:rsidRPr="007D7B50" w:rsidRDefault="00D26426" w:rsidP="00DA5577">
            <w:hyperlink r:id="rId12" w:history="1">
              <w:r w:rsidR="00DA5577" w:rsidRPr="007D7B50">
                <w:rPr>
                  <w:rStyle w:val="Hyperlink"/>
                </w:rPr>
                <w:t>https://www.nhs.uk/conditions/steroid-injections/</w:t>
              </w:r>
            </w:hyperlink>
          </w:p>
          <w:p w:rsidR="007D7B50" w:rsidRDefault="007D7B50" w:rsidP="00E041B6">
            <w:pPr>
              <w:pStyle w:val="Default"/>
              <w:rPr>
                <w:rFonts w:asciiTheme="minorHAnsi" w:hAnsiTheme="minorHAnsi" w:cstheme="minorHAnsi"/>
              </w:rPr>
            </w:pPr>
          </w:p>
          <w:p w:rsidR="00E041B6" w:rsidRPr="007D7B50" w:rsidRDefault="00E041B6" w:rsidP="00E041B6">
            <w:pPr>
              <w:pStyle w:val="Default"/>
              <w:rPr>
                <w:rFonts w:asciiTheme="minorHAnsi" w:hAnsiTheme="minorHAnsi" w:cstheme="minorHAnsi"/>
              </w:rPr>
            </w:pPr>
            <w:r w:rsidRPr="007D7B50">
              <w:rPr>
                <w:rFonts w:asciiTheme="minorHAnsi" w:hAnsiTheme="minorHAnsi" w:cstheme="minorHAnsi"/>
              </w:rPr>
              <w:t>Ultrasound-guided injections of joints of the extremities –</w:t>
            </w:r>
          </w:p>
          <w:p w:rsidR="00445646" w:rsidRPr="007D7B50" w:rsidRDefault="00E041B6" w:rsidP="00E041B6">
            <w:pPr>
              <w:pStyle w:val="Default"/>
              <w:rPr>
                <w:rFonts w:asciiTheme="minorHAnsi" w:hAnsiTheme="minorHAnsi" w:cstheme="minorHAnsi"/>
              </w:rPr>
            </w:pPr>
            <w:r w:rsidRPr="007D7B50">
              <w:rPr>
                <w:rFonts w:asciiTheme="minorHAnsi" w:hAnsiTheme="minorHAnsi" w:cstheme="minorHAnsi"/>
              </w:rPr>
              <w:t>University of York Centre for Research and Dissemination 2012.</w:t>
            </w:r>
          </w:p>
        </w:tc>
      </w:tr>
    </w:tbl>
    <w:p w:rsidR="00B16B78" w:rsidRPr="00071F66" w:rsidRDefault="00B16B78" w:rsidP="007760EE">
      <w:pPr>
        <w:rPr>
          <w:rFonts w:cstheme="minorHAnsi"/>
          <w:b/>
          <w:sz w:val="24"/>
          <w:szCs w:val="24"/>
        </w:rPr>
      </w:pPr>
    </w:p>
    <w:sectPr w:rsidR="00B16B78" w:rsidRPr="00071F66" w:rsidSect="00BD4457">
      <w:headerReference w:type="default" r:id="rId13"/>
      <w:footerReference w:type="default" r:id="rId14"/>
      <w:pgSz w:w="11906" w:h="16838"/>
      <w:pgMar w:top="24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26" w:rsidRDefault="00D26426" w:rsidP="008B03CD">
      <w:pPr>
        <w:spacing w:after="0" w:line="240" w:lineRule="auto"/>
      </w:pPr>
      <w:r>
        <w:separator/>
      </w:r>
    </w:p>
  </w:endnote>
  <w:endnote w:type="continuationSeparator" w:id="0">
    <w:p w:rsidR="00D26426" w:rsidRDefault="00D26426" w:rsidP="008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990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457" w:rsidRDefault="00BD44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457" w:rsidRDefault="00BD4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26" w:rsidRDefault="00D26426" w:rsidP="008B03CD">
      <w:pPr>
        <w:spacing w:after="0" w:line="240" w:lineRule="auto"/>
      </w:pPr>
      <w:r>
        <w:separator/>
      </w:r>
    </w:p>
  </w:footnote>
  <w:footnote w:type="continuationSeparator" w:id="0">
    <w:p w:rsidR="00D26426" w:rsidRDefault="00D26426" w:rsidP="008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CD" w:rsidRDefault="00BD4457">
    <w:pPr>
      <w:pStyle w:val="Header"/>
    </w:pPr>
    <w:r w:rsidRPr="00720003"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088200B6" wp14:editId="2DFF935E">
          <wp:simplePos x="0" y="0"/>
          <wp:positionH relativeFrom="page">
            <wp:posOffset>9525</wp:posOffset>
          </wp:positionH>
          <wp:positionV relativeFrom="page">
            <wp:posOffset>20320</wp:posOffset>
          </wp:positionV>
          <wp:extent cx="7563485" cy="1144714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GA_7874_Brand Update_Letterhead_V1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144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288"/>
    <w:multiLevelType w:val="hybridMultilevel"/>
    <w:tmpl w:val="97CE4E8E"/>
    <w:lvl w:ilvl="0" w:tplc="157484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B4F"/>
    <w:multiLevelType w:val="hybridMultilevel"/>
    <w:tmpl w:val="EB4C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77FC"/>
    <w:multiLevelType w:val="hybridMultilevel"/>
    <w:tmpl w:val="9BFC922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5D24771"/>
    <w:multiLevelType w:val="hybridMultilevel"/>
    <w:tmpl w:val="01F6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52F96"/>
    <w:multiLevelType w:val="hybridMultilevel"/>
    <w:tmpl w:val="753E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7498"/>
    <w:multiLevelType w:val="hybridMultilevel"/>
    <w:tmpl w:val="8FA2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454B6"/>
    <w:multiLevelType w:val="hybridMultilevel"/>
    <w:tmpl w:val="CBE0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756D"/>
    <w:multiLevelType w:val="hybridMultilevel"/>
    <w:tmpl w:val="21C2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747E5"/>
    <w:multiLevelType w:val="hybridMultilevel"/>
    <w:tmpl w:val="B87C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A3166"/>
    <w:multiLevelType w:val="hybridMultilevel"/>
    <w:tmpl w:val="2488D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84F41"/>
    <w:multiLevelType w:val="hybridMultilevel"/>
    <w:tmpl w:val="8934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81D0F"/>
    <w:multiLevelType w:val="hybridMultilevel"/>
    <w:tmpl w:val="E6E6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8309F"/>
    <w:multiLevelType w:val="hybridMultilevel"/>
    <w:tmpl w:val="024A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17346"/>
    <w:multiLevelType w:val="hybridMultilevel"/>
    <w:tmpl w:val="3FAE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D2CDB"/>
    <w:multiLevelType w:val="hybridMultilevel"/>
    <w:tmpl w:val="07B0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C7AD7"/>
    <w:multiLevelType w:val="multilevel"/>
    <w:tmpl w:val="9D6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93E9E"/>
    <w:multiLevelType w:val="hybridMultilevel"/>
    <w:tmpl w:val="FE14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D63D7"/>
    <w:multiLevelType w:val="hybridMultilevel"/>
    <w:tmpl w:val="02B43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15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13"/>
    <w:rsid w:val="00071F66"/>
    <w:rsid w:val="00075B45"/>
    <w:rsid w:val="000E1DCB"/>
    <w:rsid w:val="000F062D"/>
    <w:rsid w:val="00125242"/>
    <w:rsid w:val="001343C3"/>
    <w:rsid w:val="00136A4B"/>
    <w:rsid w:val="00184A31"/>
    <w:rsid w:val="001E2729"/>
    <w:rsid w:val="001F312A"/>
    <w:rsid w:val="00206D13"/>
    <w:rsid w:val="002B789F"/>
    <w:rsid w:val="002E0169"/>
    <w:rsid w:val="002E06A4"/>
    <w:rsid w:val="002F0EEB"/>
    <w:rsid w:val="00306281"/>
    <w:rsid w:val="00322FDF"/>
    <w:rsid w:val="003579AC"/>
    <w:rsid w:val="00361660"/>
    <w:rsid w:val="00372D23"/>
    <w:rsid w:val="00384A6E"/>
    <w:rsid w:val="00394ABD"/>
    <w:rsid w:val="003D1B35"/>
    <w:rsid w:val="003D2003"/>
    <w:rsid w:val="00445646"/>
    <w:rsid w:val="004D56BE"/>
    <w:rsid w:val="004E146D"/>
    <w:rsid w:val="004E3790"/>
    <w:rsid w:val="0052306E"/>
    <w:rsid w:val="005A543F"/>
    <w:rsid w:val="00672454"/>
    <w:rsid w:val="006B41E4"/>
    <w:rsid w:val="007760EE"/>
    <w:rsid w:val="007772F4"/>
    <w:rsid w:val="00785AAB"/>
    <w:rsid w:val="007D7B50"/>
    <w:rsid w:val="0081101A"/>
    <w:rsid w:val="00880413"/>
    <w:rsid w:val="008A6C49"/>
    <w:rsid w:val="008B03CD"/>
    <w:rsid w:val="00963599"/>
    <w:rsid w:val="009B5F6E"/>
    <w:rsid w:val="009C5480"/>
    <w:rsid w:val="009F1221"/>
    <w:rsid w:val="009F4014"/>
    <w:rsid w:val="00A222F2"/>
    <w:rsid w:val="00A875F9"/>
    <w:rsid w:val="00AA3980"/>
    <w:rsid w:val="00AD66F0"/>
    <w:rsid w:val="00B13E7F"/>
    <w:rsid w:val="00B16B78"/>
    <w:rsid w:val="00B75C7A"/>
    <w:rsid w:val="00BD4457"/>
    <w:rsid w:val="00C95E8F"/>
    <w:rsid w:val="00CD43A6"/>
    <w:rsid w:val="00D01447"/>
    <w:rsid w:val="00D26426"/>
    <w:rsid w:val="00D43766"/>
    <w:rsid w:val="00D500A5"/>
    <w:rsid w:val="00DA5577"/>
    <w:rsid w:val="00DC1168"/>
    <w:rsid w:val="00DE2C2C"/>
    <w:rsid w:val="00E041B6"/>
    <w:rsid w:val="00E812BA"/>
    <w:rsid w:val="00E91FFE"/>
    <w:rsid w:val="00EC0DE0"/>
    <w:rsid w:val="00EF72D9"/>
    <w:rsid w:val="00F03D9C"/>
    <w:rsid w:val="00F429DC"/>
    <w:rsid w:val="00F44BEA"/>
    <w:rsid w:val="00F73526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CD"/>
  </w:style>
  <w:style w:type="paragraph" w:styleId="Footer">
    <w:name w:val="footer"/>
    <w:basedOn w:val="Normal"/>
    <w:link w:val="FooterChar"/>
    <w:uiPriority w:val="99"/>
    <w:unhideWhenUsed/>
    <w:rsid w:val="008B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CD"/>
  </w:style>
  <w:style w:type="paragraph" w:customStyle="1" w:styleId="Default">
    <w:name w:val="Default"/>
    <w:rsid w:val="00B16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CD"/>
  </w:style>
  <w:style w:type="paragraph" w:styleId="Footer">
    <w:name w:val="footer"/>
    <w:basedOn w:val="Normal"/>
    <w:link w:val="FooterChar"/>
    <w:uiPriority w:val="99"/>
    <w:unhideWhenUsed/>
    <w:rsid w:val="008B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CD"/>
  </w:style>
  <w:style w:type="paragraph" w:customStyle="1" w:styleId="Default">
    <w:name w:val="Default"/>
    <w:rsid w:val="00B16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conditions/steroid-inject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CF7E44517D444943D924B57B4312D" ma:contentTypeVersion="8" ma:contentTypeDescription="Create a new document." ma:contentTypeScope="" ma:versionID="d880677f3a69c98d77e1b995c11ec3ef">
  <xsd:schema xmlns:xsd="http://www.w3.org/2001/XMLSchema" xmlns:xs="http://www.w3.org/2001/XMLSchema" xmlns:p="http://schemas.microsoft.com/office/2006/metadata/properties" xmlns:ns3="1ecdbf3c-53c7-4c6e-8200-34d7fb740cf7" targetNamespace="http://schemas.microsoft.com/office/2006/metadata/properties" ma:root="true" ma:fieldsID="1dd4ed012ebe1a83816cc571309ddb10" ns3:_="">
    <xsd:import namespace="1ecdbf3c-53c7-4c6e-8200-34d7fb740c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bf3c-53c7-4c6e-8200-34d7fb74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E5BF-98B7-4FF9-888B-BCD2BE83A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DA72B-B4D9-4A26-B2DD-32BB712D9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dbf3c-53c7-4c6e-8200-34d7fb740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7661F-CDD6-438C-AF22-101F3800B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08F82B-F45A-4B11-8406-2111622D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O'Brien</dc:creator>
  <cp:lastModifiedBy>Walker Fran</cp:lastModifiedBy>
  <cp:revision>1</cp:revision>
  <cp:lastPrinted>2016-11-22T13:01:00Z</cp:lastPrinted>
  <dcterms:created xsi:type="dcterms:W3CDTF">2020-01-29T10:52:00Z</dcterms:created>
  <dcterms:modified xsi:type="dcterms:W3CDTF">2020-01-29T10:52:00Z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0x01010056ECF7E44517D444943D924B57B4312D</vt:lpwstr>
  </property>
  <property fmtid="{D5CDD505-2E9C-101B-9397-08002B2CF9AE}" pid="3" name="_dlc_DocIdItemGuid">
    <vt:lpwstr>e7456fef-224f-4a6d-a847-28fb08ce61ea</vt:lpwstr>
  </property>
  <property fmtid="{D5CDD505-2E9C-101B-9397-08002B2CF9AE}" pid="4" name="Order">
    <vt:r8>20919900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