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03" w:rsidRDefault="003D2003"/>
    <w:p w:rsidR="00B8396C" w:rsidRPr="002E0169" w:rsidRDefault="00B8396C" w:rsidP="00B8396C">
      <w:pPr>
        <w:jc w:val="center"/>
        <w:rPr>
          <w:rFonts w:ascii="Arial" w:hAnsi="Arial" w:cs="Arial"/>
          <w:b/>
          <w:sz w:val="44"/>
          <w:szCs w:val="44"/>
        </w:rPr>
      </w:pPr>
      <w:r>
        <w:rPr>
          <w:rFonts w:ascii="Arial" w:hAnsi="Arial" w:cs="Arial"/>
          <w:b/>
          <w:sz w:val="44"/>
          <w:szCs w:val="44"/>
        </w:rPr>
        <w:t xml:space="preserve">Policy for </w:t>
      </w:r>
      <w:r w:rsidRPr="00B8396C">
        <w:rPr>
          <w:rFonts w:ascii="Arial" w:hAnsi="Arial" w:cs="Arial"/>
          <w:b/>
          <w:sz w:val="44"/>
          <w:szCs w:val="44"/>
        </w:rPr>
        <w:t>Continuous Sub-Cutaneous Insulin Infusion (CSII) Therapy (Insulin Pump Therapy)</w:t>
      </w:r>
    </w:p>
    <w:tbl>
      <w:tblPr>
        <w:tblStyle w:val="TableGrid"/>
        <w:tblW w:w="0" w:type="auto"/>
        <w:tblLook w:val="04A0" w:firstRow="1" w:lastRow="0" w:firstColumn="1" w:lastColumn="0" w:noHBand="0" w:noVBand="1"/>
      </w:tblPr>
      <w:tblGrid>
        <w:gridCol w:w="959"/>
        <w:gridCol w:w="2977"/>
        <w:gridCol w:w="2865"/>
        <w:gridCol w:w="2441"/>
      </w:tblGrid>
      <w:tr w:rsidR="002E0169" w:rsidTr="007C0E1A">
        <w:tc>
          <w:tcPr>
            <w:tcW w:w="9242" w:type="dxa"/>
            <w:gridSpan w:val="4"/>
          </w:tcPr>
          <w:p w:rsidR="002E0169" w:rsidRPr="002E0169" w:rsidRDefault="002E0169">
            <w:pPr>
              <w:rPr>
                <w:b/>
              </w:rPr>
            </w:pPr>
            <w:r w:rsidRPr="002E0169">
              <w:rPr>
                <w:b/>
              </w:rPr>
              <w:t>Document version control</w:t>
            </w:r>
          </w:p>
        </w:tc>
      </w:tr>
      <w:tr w:rsidR="002E0169" w:rsidTr="00B8396C">
        <w:tc>
          <w:tcPr>
            <w:tcW w:w="959" w:type="dxa"/>
          </w:tcPr>
          <w:p w:rsidR="002E0169" w:rsidRPr="002E0169" w:rsidRDefault="002E0169">
            <w:pPr>
              <w:rPr>
                <w:b/>
              </w:rPr>
            </w:pPr>
            <w:r w:rsidRPr="002E0169">
              <w:rPr>
                <w:b/>
              </w:rPr>
              <w:t>Version</w:t>
            </w:r>
          </w:p>
        </w:tc>
        <w:tc>
          <w:tcPr>
            <w:tcW w:w="2977" w:type="dxa"/>
          </w:tcPr>
          <w:p w:rsidR="002E0169" w:rsidRPr="002E0169" w:rsidRDefault="002E0169">
            <w:pPr>
              <w:rPr>
                <w:b/>
              </w:rPr>
            </w:pPr>
            <w:r w:rsidRPr="002E0169">
              <w:rPr>
                <w:b/>
              </w:rPr>
              <w:t>Amendment</w:t>
            </w:r>
          </w:p>
        </w:tc>
        <w:tc>
          <w:tcPr>
            <w:tcW w:w="2865" w:type="dxa"/>
          </w:tcPr>
          <w:p w:rsidR="002E0169" w:rsidRPr="002E0169" w:rsidRDefault="002E0169">
            <w:pPr>
              <w:rPr>
                <w:b/>
              </w:rPr>
            </w:pPr>
            <w:r w:rsidRPr="002E0169">
              <w:rPr>
                <w:b/>
              </w:rPr>
              <w:t>By who</w:t>
            </w:r>
          </w:p>
        </w:tc>
        <w:tc>
          <w:tcPr>
            <w:tcW w:w="2441" w:type="dxa"/>
          </w:tcPr>
          <w:p w:rsidR="002E0169" w:rsidRPr="002E0169" w:rsidRDefault="002E0169">
            <w:pPr>
              <w:rPr>
                <w:b/>
              </w:rPr>
            </w:pPr>
            <w:r w:rsidRPr="002E0169">
              <w:rPr>
                <w:b/>
              </w:rPr>
              <w:t>Date amendment made</w:t>
            </w:r>
          </w:p>
        </w:tc>
      </w:tr>
      <w:tr w:rsidR="002E0169" w:rsidTr="00B8396C">
        <w:tc>
          <w:tcPr>
            <w:tcW w:w="959" w:type="dxa"/>
          </w:tcPr>
          <w:p w:rsidR="002E0169" w:rsidRDefault="00EC0DE0">
            <w:r>
              <w:t>1.0</w:t>
            </w:r>
          </w:p>
        </w:tc>
        <w:tc>
          <w:tcPr>
            <w:tcW w:w="2977" w:type="dxa"/>
          </w:tcPr>
          <w:p w:rsidR="002E0169" w:rsidRDefault="00EC0DE0">
            <w:r>
              <w:t>Document Created</w:t>
            </w:r>
          </w:p>
        </w:tc>
        <w:tc>
          <w:tcPr>
            <w:tcW w:w="2865" w:type="dxa"/>
          </w:tcPr>
          <w:p w:rsidR="0002469B" w:rsidRDefault="0002469B">
            <w:r>
              <w:t>Laura Crompton</w:t>
            </w:r>
          </w:p>
          <w:p w:rsidR="002E0169" w:rsidRDefault="00B8396C">
            <w:r>
              <w:t>North West Coast Strategic Clinical Network</w:t>
            </w:r>
          </w:p>
        </w:tc>
        <w:tc>
          <w:tcPr>
            <w:tcW w:w="2441" w:type="dxa"/>
          </w:tcPr>
          <w:p w:rsidR="002E0169" w:rsidRDefault="00B8396C" w:rsidP="00B8396C">
            <w:r>
              <w:t>05/09/2017</w:t>
            </w:r>
          </w:p>
        </w:tc>
      </w:tr>
      <w:tr w:rsidR="002E0169" w:rsidTr="00B8396C">
        <w:tc>
          <w:tcPr>
            <w:tcW w:w="959" w:type="dxa"/>
          </w:tcPr>
          <w:p w:rsidR="002E0169" w:rsidRDefault="00C05068">
            <w:r>
              <w:t>1.1</w:t>
            </w:r>
          </w:p>
        </w:tc>
        <w:tc>
          <w:tcPr>
            <w:tcW w:w="2977" w:type="dxa"/>
          </w:tcPr>
          <w:p w:rsidR="002E0169" w:rsidRDefault="00C05068">
            <w:r>
              <w:t>Document Amended</w:t>
            </w:r>
          </w:p>
        </w:tc>
        <w:tc>
          <w:tcPr>
            <w:tcW w:w="2865" w:type="dxa"/>
          </w:tcPr>
          <w:p w:rsidR="002E0169" w:rsidRDefault="00C05068">
            <w:r>
              <w:t>Dr Niall Furlong</w:t>
            </w:r>
          </w:p>
        </w:tc>
        <w:tc>
          <w:tcPr>
            <w:tcW w:w="2441" w:type="dxa"/>
          </w:tcPr>
          <w:p w:rsidR="002E0169" w:rsidRDefault="00C05068">
            <w:r>
              <w:t>25/10/2017</w:t>
            </w:r>
          </w:p>
        </w:tc>
      </w:tr>
      <w:tr w:rsidR="002E0169" w:rsidTr="00B8396C">
        <w:tc>
          <w:tcPr>
            <w:tcW w:w="959" w:type="dxa"/>
          </w:tcPr>
          <w:p w:rsidR="002E0169" w:rsidRDefault="00C05068">
            <w:r>
              <w:t>1.2</w:t>
            </w:r>
          </w:p>
        </w:tc>
        <w:tc>
          <w:tcPr>
            <w:tcW w:w="2977" w:type="dxa"/>
          </w:tcPr>
          <w:p w:rsidR="002E0169" w:rsidRDefault="00C05068">
            <w:r>
              <w:t>Links added to document</w:t>
            </w:r>
          </w:p>
        </w:tc>
        <w:tc>
          <w:tcPr>
            <w:tcW w:w="2865" w:type="dxa"/>
          </w:tcPr>
          <w:p w:rsidR="00C05068" w:rsidRDefault="00C05068" w:rsidP="00C05068">
            <w:r>
              <w:t>Laura Crompton</w:t>
            </w:r>
          </w:p>
          <w:p w:rsidR="002E0169" w:rsidRDefault="00C05068" w:rsidP="00C05068">
            <w:r>
              <w:t>North West Coast Strategic Clinical Network</w:t>
            </w:r>
          </w:p>
        </w:tc>
        <w:tc>
          <w:tcPr>
            <w:tcW w:w="2441" w:type="dxa"/>
          </w:tcPr>
          <w:p w:rsidR="002E0169" w:rsidRDefault="00C05068">
            <w:r>
              <w:t>26/10/2017</w:t>
            </w:r>
          </w:p>
        </w:tc>
      </w:tr>
      <w:tr w:rsidR="002E0169" w:rsidTr="00B8396C">
        <w:tc>
          <w:tcPr>
            <w:tcW w:w="959" w:type="dxa"/>
          </w:tcPr>
          <w:p w:rsidR="002E0169" w:rsidRDefault="00F54298">
            <w:r>
              <w:t>2</w:t>
            </w:r>
          </w:p>
        </w:tc>
        <w:tc>
          <w:tcPr>
            <w:tcW w:w="2977" w:type="dxa"/>
          </w:tcPr>
          <w:p w:rsidR="002E0169" w:rsidRDefault="00F54298">
            <w:r>
              <w:t xml:space="preserve">Document </w:t>
            </w:r>
            <w:r w:rsidR="00FF318F">
              <w:t>draft 1</w:t>
            </w:r>
            <w:r>
              <w:t>Finalised</w:t>
            </w:r>
          </w:p>
        </w:tc>
        <w:tc>
          <w:tcPr>
            <w:tcW w:w="2865" w:type="dxa"/>
          </w:tcPr>
          <w:p w:rsidR="00F54298" w:rsidRDefault="00F54298" w:rsidP="00F54298">
            <w:r>
              <w:t>Laura Crompton</w:t>
            </w:r>
          </w:p>
          <w:p w:rsidR="002E0169" w:rsidRDefault="00F54298" w:rsidP="00F54298">
            <w:r>
              <w:t>North West Coast Strategic Clinical Network</w:t>
            </w:r>
          </w:p>
        </w:tc>
        <w:tc>
          <w:tcPr>
            <w:tcW w:w="2441" w:type="dxa"/>
          </w:tcPr>
          <w:p w:rsidR="002E0169" w:rsidRDefault="00F54298">
            <w:r>
              <w:t>08/11/2017</w:t>
            </w:r>
          </w:p>
        </w:tc>
      </w:tr>
      <w:tr w:rsidR="002E0169" w:rsidTr="00B8396C">
        <w:tc>
          <w:tcPr>
            <w:tcW w:w="959" w:type="dxa"/>
          </w:tcPr>
          <w:p w:rsidR="002E0169" w:rsidRDefault="0012753E">
            <w:r>
              <w:t>3</w:t>
            </w:r>
          </w:p>
        </w:tc>
        <w:tc>
          <w:tcPr>
            <w:tcW w:w="2977" w:type="dxa"/>
          </w:tcPr>
          <w:p w:rsidR="002E0169" w:rsidRDefault="0012753E">
            <w:r>
              <w:t>Document Revised</w:t>
            </w:r>
          </w:p>
        </w:tc>
        <w:tc>
          <w:tcPr>
            <w:tcW w:w="2865" w:type="dxa"/>
          </w:tcPr>
          <w:p w:rsidR="002E0169" w:rsidRDefault="0012753E">
            <w:r>
              <w:t>Dr Niall Furlong</w:t>
            </w:r>
          </w:p>
        </w:tc>
        <w:tc>
          <w:tcPr>
            <w:tcW w:w="2441" w:type="dxa"/>
          </w:tcPr>
          <w:p w:rsidR="002E0169" w:rsidRDefault="0012753E">
            <w:r>
              <w:t>18/04/2018</w:t>
            </w:r>
          </w:p>
        </w:tc>
      </w:tr>
      <w:tr w:rsidR="002E0169" w:rsidTr="00B8396C">
        <w:tc>
          <w:tcPr>
            <w:tcW w:w="959" w:type="dxa"/>
          </w:tcPr>
          <w:p w:rsidR="002E0169" w:rsidRDefault="000310FD">
            <w:r>
              <w:t>4</w:t>
            </w:r>
          </w:p>
        </w:tc>
        <w:tc>
          <w:tcPr>
            <w:tcW w:w="2977" w:type="dxa"/>
          </w:tcPr>
          <w:p w:rsidR="002E0169" w:rsidRDefault="000310FD">
            <w:r>
              <w:t xml:space="preserve">Document </w:t>
            </w:r>
            <w:r w:rsidR="00FF318F">
              <w:t xml:space="preserve">draft 2 </w:t>
            </w:r>
            <w:r>
              <w:t>Finalised</w:t>
            </w:r>
          </w:p>
        </w:tc>
        <w:tc>
          <w:tcPr>
            <w:tcW w:w="2865" w:type="dxa"/>
          </w:tcPr>
          <w:p w:rsidR="000310FD" w:rsidRDefault="000310FD" w:rsidP="000310FD">
            <w:r>
              <w:t>Laura Crompton</w:t>
            </w:r>
          </w:p>
          <w:p w:rsidR="002E0169" w:rsidRDefault="000310FD" w:rsidP="000310FD">
            <w:r>
              <w:t>North West Coast Strategic Clinical Network</w:t>
            </w:r>
          </w:p>
        </w:tc>
        <w:tc>
          <w:tcPr>
            <w:tcW w:w="2441" w:type="dxa"/>
          </w:tcPr>
          <w:p w:rsidR="002E0169" w:rsidRDefault="000310FD">
            <w:r>
              <w:t>08/06/2018</w:t>
            </w:r>
          </w:p>
        </w:tc>
      </w:tr>
      <w:tr w:rsidR="00FF318F" w:rsidTr="00B8396C">
        <w:tc>
          <w:tcPr>
            <w:tcW w:w="959" w:type="dxa"/>
          </w:tcPr>
          <w:p w:rsidR="00FF318F" w:rsidRDefault="00FF318F">
            <w:r>
              <w:t>5</w:t>
            </w:r>
          </w:p>
        </w:tc>
        <w:tc>
          <w:tcPr>
            <w:tcW w:w="2977" w:type="dxa"/>
          </w:tcPr>
          <w:p w:rsidR="00FF318F" w:rsidRDefault="00FF318F">
            <w:r>
              <w:t>Document draft 3 revised</w:t>
            </w:r>
          </w:p>
        </w:tc>
        <w:tc>
          <w:tcPr>
            <w:tcW w:w="2865" w:type="dxa"/>
          </w:tcPr>
          <w:p w:rsidR="00FF318F" w:rsidRDefault="00FF318F" w:rsidP="000310FD">
            <w:r>
              <w:t>Dr Niall Furlong</w:t>
            </w:r>
          </w:p>
        </w:tc>
        <w:tc>
          <w:tcPr>
            <w:tcW w:w="2441" w:type="dxa"/>
          </w:tcPr>
          <w:p w:rsidR="00FF318F" w:rsidRDefault="00FF318F">
            <w:r>
              <w:t>16/09/2018</w:t>
            </w:r>
          </w:p>
        </w:tc>
      </w:tr>
      <w:tr w:rsidR="006A7D9F" w:rsidTr="00B8396C">
        <w:tc>
          <w:tcPr>
            <w:tcW w:w="959" w:type="dxa"/>
          </w:tcPr>
          <w:p w:rsidR="006A7D9F" w:rsidRDefault="006A7D9F">
            <w:r>
              <w:t>6</w:t>
            </w:r>
          </w:p>
        </w:tc>
        <w:tc>
          <w:tcPr>
            <w:tcW w:w="2977" w:type="dxa"/>
          </w:tcPr>
          <w:p w:rsidR="006A7D9F" w:rsidRDefault="006A7D9F">
            <w:r>
              <w:t xml:space="preserve">Document revised to </w:t>
            </w:r>
            <w:r w:rsidR="001575B1">
              <w:t>include additional pumps, costings revised.</w:t>
            </w:r>
          </w:p>
        </w:tc>
        <w:tc>
          <w:tcPr>
            <w:tcW w:w="2865" w:type="dxa"/>
          </w:tcPr>
          <w:p w:rsidR="006A7D9F" w:rsidRDefault="001575B1" w:rsidP="000310FD">
            <w:r>
              <w:t>Dr Niall Furlong</w:t>
            </w:r>
          </w:p>
        </w:tc>
        <w:tc>
          <w:tcPr>
            <w:tcW w:w="2441" w:type="dxa"/>
          </w:tcPr>
          <w:p w:rsidR="006A7D9F" w:rsidRDefault="001575B1">
            <w:r>
              <w:t>19/02</w:t>
            </w:r>
            <w:r w:rsidR="00CE573D">
              <w:t>/2019</w:t>
            </w:r>
          </w:p>
        </w:tc>
      </w:tr>
    </w:tbl>
    <w:p w:rsidR="002E0169" w:rsidRPr="004E5F9D" w:rsidRDefault="002E0169">
      <w:pPr>
        <w:rPr>
          <w:i/>
        </w:rPr>
      </w:pPr>
    </w:p>
    <w:p w:rsidR="003D2003" w:rsidRPr="004E5F9D" w:rsidRDefault="00F53082">
      <w:pPr>
        <w:rPr>
          <w:i/>
        </w:rPr>
      </w:pPr>
      <w:r w:rsidRPr="004E5F9D">
        <w:rPr>
          <w:i/>
        </w:rPr>
        <w:t>This document has been commissioned by the Merseyside Insulin Pump Task and Finish Group who are a subgroup of experts from the Merseyside Diabetes Steering Group</w:t>
      </w:r>
      <w:r w:rsidR="00DD6E5B">
        <w:rPr>
          <w:i/>
        </w:rPr>
        <w:t xml:space="preserve"> part of the North West Coast Strategic Clinical Network</w:t>
      </w:r>
      <w:r w:rsidRPr="004E5F9D">
        <w:rPr>
          <w:i/>
        </w:rPr>
        <w:t xml:space="preserve">. The </w:t>
      </w:r>
      <w:r w:rsidR="00343F25" w:rsidRPr="004E5F9D">
        <w:rPr>
          <w:i/>
        </w:rPr>
        <w:t xml:space="preserve">group was reformed based on concerns over the current list of </w:t>
      </w:r>
      <w:r w:rsidR="00AC5487" w:rsidRPr="004E5F9D">
        <w:rPr>
          <w:i/>
        </w:rPr>
        <w:t>approved</w:t>
      </w:r>
      <w:r w:rsidR="00343F25" w:rsidRPr="004E5F9D">
        <w:rPr>
          <w:i/>
        </w:rPr>
        <w:t xml:space="preserve"> pumps</w:t>
      </w:r>
      <w:r w:rsidR="004E5F9D" w:rsidRPr="004E5F9D">
        <w:rPr>
          <w:i/>
        </w:rPr>
        <w:t xml:space="preserve"> and number </w:t>
      </w:r>
      <w:r w:rsidR="004E5F9D" w:rsidRPr="00FF318F">
        <w:rPr>
          <w:i/>
        </w:rPr>
        <w:t xml:space="preserve">of </w:t>
      </w:r>
      <w:r w:rsidR="00D73AB0" w:rsidRPr="00FF318F">
        <w:rPr>
          <w:i/>
        </w:rPr>
        <w:t>IFRs</w:t>
      </w:r>
      <w:r w:rsidR="004E5F9D" w:rsidRPr="00FF318F">
        <w:rPr>
          <w:i/>
        </w:rPr>
        <w:t xml:space="preserve"> that </w:t>
      </w:r>
      <w:r w:rsidR="004E5F9D" w:rsidRPr="004E5F9D">
        <w:rPr>
          <w:i/>
        </w:rPr>
        <w:t xml:space="preserve">are submitted, to review the policies. </w:t>
      </w:r>
    </w:p>
    <w:p w:rsidR="003D2003" w:rsidRDefault="003D2003"/>
    <w:p w:rsidR="003D2003" w:rsidRDefault="003D2003"/>
    <w:p w:rsidR="003D2003" w:rsidRDefault="003D2003"/>
    <w:p w:rsidR="003D2003" w:rsidRDefault="003D2003"/>
    <w:p w:rsidR="003D2003" w:rsidRDefault="003D2003"/>
    <w:p w:rsidR="003D2003" w:rsidRDefault="003D2003"/>
    <w:p w:rsidR="003D2003" w:rsidRDefault="003D2003"/>
    <w:p w:rsidR="003D2003" w:rsidRDefault="003D2003"/>
    <w:p w:rsidR="003D2003" w:rsidRDefault="003D2003"/>
    <w:p w:rsidR="003D2003" w:rsidRDefault="003D2003"/>
    <w:p w:rsidR="003D2003" w:rsidRDefault="003D2003"/>
    <w:p w:rsidR="003D2003" w:rsidRDefault="003D20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63599" w:rsidRPr="001E2729" w:rsidTr="001E2729">
        <w:trPr>
          <w:trHeight w:val="1833"/>
        </w:trPr>
        <w:tc>
          <w:tcPr>
            <w:tcW w:w="9242" w:type="dxa"/>
          </w:tcPr>
          <w:p w:rsidR="00963599" w:rsidRPr="001E2729" w:rsidRDefault="00963599" w:rsidP="004E5F9D">
            <w:pPr>
              <w:jc w:val="right"/>
              <w:rPr>
                <w:rFonts w:ascii="Arial" w:hAnsi="Arial" w:cs="Arial"/>
                <w:b/>
                <w:sz w:val="24"/>
              </w:rPr>
            </w:pPr>
            <w:r w:rsidRPr="001E2729">
              <w:rPr>
                <w:rFonts w:ascii="Arial" w:hAnsi="Arial" w:cs="Arial"/>
                <w:b/>
                <w:sz w:val="24"/>
              </w:rPr>
              <w:t>NHS Knowsley Clinical Commissioning Group</w:t>
            </w:r>
          </w:p>
          <w:p w:rsidR="00963599" w:rsidRPr="001E2729" w:rsidRDefault="00963599" w:rsidP="00963599">
            <w:pPr>
              <w:jc w:val="right"/>
              <w:rPr>
                <w:rFonts w:ascii="Arial" w:hAnsi="Arial" w:cs="Arial"/>
                <w:b/>
                <w:sz w:val="24"/>
              </w:rPr>
            </w:pPr>
            <w:r w:rsidRPr="001E2729">
              <w:rPr>
                <w:rFonts w:ascii="Arial" w:hAnsi="Arial" w:cs="Arial"/>
                <w:b/>
                <w:sz w:val="24"/>
              </w:rPr>
              <w:t>NHS Liverpool Clinical Commissioning Group</w:t>
            </w:r>
          </w:p>
          <w:p w:rsidR="00963599" w:rsidRPr="001E2729" w:rsidRDefault="00963599" w:rsidP="00963599">
            <w:pPr>
              <w:jc w:val="right"/>
              <w:rPr>
                <w:rFonts w:ascii="Arial" w:hAnsi="Arial" w:cs="Arial"/>
                <w:b/>
                <w:sz w:val="24"/>
              </w:rPr>
            </w:pPr>
            <w:r w:rsidRPr="001E2729">
              <w:rPr>
                <w:rFonts w:ascii="Arial" w:hAnsi="Arial" w:cs="Arial"/>
                <w:b/>
                <w:sz w:val="24"/>
              </w:rPr>
              <w:t>NHS St Helens Clinical Commissioning Group</w:t>
            </w:r>
          </w:p>
          <w:p w:rsidR="00963599" w:rsidRPr="001E2729" w:rsidRDefault="00963599" w:rsidP="00963599">
            <w:pPr>
              <w:jc w:val="right"/>
              <w:rPr>
                <w:rFonts w:ascii="Arial" w:hAnsi="Arial" w:cs="Arial"/>
                <w:b/>
                <w:sz w:val="24"/>
              </w:rPr>
            </w:pPr>
            <w:r w:rsidRPr="001E2729">
              <w:rPr>
                <w:rFonts w:ascii="Arial" w:hAnsi="Arial" w:cs="Arial"/>
                <w:b/>
                <w:sz w:val="24"/>
              </w:rPr>
              <w:t>NHS South Sefton Clinical Commissioning Group</w:t>
            </w:r>
          </w:p>
          <w:p w:rsidR="00963599" w:rsidRDefault="00963599" w:rsidP="00963599">
            <w:pPr>
              <w:jc w:val="right"/>
              <w:rPr>
                <w:rFonts w:ascii="Arial" w:hAnsi="Arial" w:cs="Arial"/>
                <w:b/>
                <w:sz w:val="24"/>
              </w:rPr>
            </w:pPr>
            <w:r w:rsidRPr="001E2729">
              <w:rPr>
                <w:rFonts w:ascii="Arial" w:hAnsi="Arial" w:cs="Arial"/>
                <w:b/>
                <w:sz w:val="24"/>
              </w:rPr>
              <w:t>NHS Southport and Formby Clinical Commissioning Group</w:t>
            </w:r>
          </w:p>
          <w:p w:rsidR="001F312A" w:rsidRPr="001E2729" w:rsidRDefault="001F312A" w:rsidP="00963599">
            <w:pPr>
              <w:jc w:val="right"/>
              <w:rPr>
                <w:rFonts w:ascii="Arial" w:hAnsi="Arial" w:cs="Arial"/>
                <w:b/>
                <w:sz w:val="24"/>
              </w:rPr>
            </w:pPr>
          </w:p>
        </w:tc>
      </w:tr>
      <w:tr w:rsidR="00963599" w:rsidRPr="001E2729" w:rsidTr="004E5F9D">
        <w:trPr>
          <w:trHeight w:val="1571"/>
        </w:trPr>
        <w:tc>
          <w:tcPr>
            <w:tcW w:w="9242" w:type="dxa"/>
          </w:tcPr>
          <w:p w:rsidR="00963599" w:rsidRPr="001E2729" w:rsidRDefault="00037D38" w:rsidP="004E5F9D">
            <w:pPr>
              <w:jc w:val="center"/>
              <w:rPr>
                <w:rFonts w:ascii="Arial" w:hAnsi="Arial" w:cs="Arial"/>
              </w:rPr>
            </w:pPr>
            <w:r>
              <w:rPr>
                <w:rFonts w:ascii="Arial" w:hAnsi="Arial" w:cs="Arial"/>
                <w:b/>
                <w:sz w:val="44"/>
                <w:szCs w:val="44"/>
              </w:rPr>
              <w:t xml:space="preserve">Policy for </w:t>
            </w:r>
            <w:r w:rsidR="00B8396C" w:rsidRPr="00B8396C">
              <w:rPr>
                <w:rFonts w:ascii="Arial" w:hAnsi="Arial" w:cs="Arial"/>
                <w:b/>
                <w:sz w:val="44"/>
                <w:szCs w:val="44"/>
              </w:rPr>
              <w:t>Continuous Sub-Cutaneous Insulin Infusion (CSII) Therapy (Insulin Pump Therapy)</w:t>
            </w:r>
          </w:p>
        </w:tc>
      </w:tr>
      <w:tr w:rsidR="00963599" w:rsidRPr="001E2729" w:rsidTr="001E2729">
        <w:tc>
          <w:tcPr>
            <w:tcW w:w="9242" w:type="dxa"/>
          </w:tcPr>
          <w:p w:rsidR="00963599" w:rsidRPr="001E2729" w:rsidRDefault="00963599" w:rsidP="001713B7">
            <w:pPr>
              <w:rPr>
                <w:rFonts w:ascii="Arial" w:hAnsi="Arial" w:cs="Arial"/>
                <w:sz w:val="24"/>
              </w:rPr>
            </w:pPr>
          </w:p>
          <w:p w:rsidR="00BA3224" w:rsidRDefault="00BC3E7F" w:rsidP="000B6D16">
            <w:r w:rsidRPr="00477D6A">
              <w:t>Diabetes mellitus is a chronic metabolic disorder caused by insufficient activity of the hormone insulin and a subsequent loss of control of blood glucose levels. There may be a lack of the hormone itself or resistance to its action</w:t>
            </w:r>
            <w:r w:rsidR="00477D6A" w:rsidRPr="00477D6A">
              <w:t>, or both</w:t>
            </w:r>
            <w:r w:rsidRPr="00477D6A">
              <w:t xml:space="preserve">. </w:t>
            </w:r>
            <w:r w:rsidR="00477D6A">
              <w:t xml:space="preserve"> </w:t>
            </w:r>
            <w:r w:rsidRPr="00477D6A">
              <w:t xml:space="preserve">Insulin is produced by the beta cells of the pancreas in response to rising blood glucose levels and </w:t>
            </w:r>
            <w:r w:rsidR="00477D6A">
              <w:t>primarily</w:t>
            </w:r>
            <w:r w:rsidRPr="00477D6A">
              <w:t xml:space="preserve"> regulates the metabolism of carbohydrates, but also </w:t>
            </w:r>
            <w:r w:rsidR="00477D6A" w:rsidRPr="00477D6A">
              <w:t xml:space="preserve">that </w:t>
            </w:r>
            <w:r w:rsidRPr="00477D6A">
              <w:t xml:space="preserve">of proteins and fats. There are two </w:t>
            </w:r>
            <w:r w:rsidR="00477D6A" w:rsidRPr="00477D6A">
              <w:t xml:space="preserve">main </w:t>
            </w:r>
            <w:r w:rsidRPr="00477D6A">
              <w:t>types of diabetes mellitus</w:t>
            </w:r>
            <w:r w:rsidR="00477D6A" w:rsidRPr="00477D6A">
              <w:t>;</w:t>
            </w:r>
            <w:r w:rsidRPr="00477D6A">
              <w:t xml:space="preserve"> Type 1 diabetes mellitus is caused by the destruction of insulin-producing cells, leading to an absolute lack of the hormone</w:t>
            </w:r>
            <w:r w:rsidR="00477D6A" w:rsidRPr="00477D6A">
              <w:t xml:space="preserve"> and requires life-long insulin treatment</w:t>
            </w:r>
            <w:r w:rsidRPr="00477D6A">
              <w:t xml:space="preserve">. </w:t>
            </w:r>
            <w:r w:rsidR="00BA3224">
              <w:t xml:space="preserve">Within this policy, patients who have had a pancreatectomy and therefore have an absence of insulin are subject to the same eligibility criteria as patients with Type 1 diabetes. </w:t>
            </w:r>
            <w:r w:rsidRPr="00477D6A">
              <w:t>Type 2 diabetes mellitus is characterised by insulin resistance and is often associated with obesity.</w:t>
            </w:r>
            <w:r w:rsidR="00BA3224">
              <w:t xml:space="preserve"> </w:t>
            </w:r>
          </w:p>
          <w:p w:rsidR="00BC3E7F" w:rsidRPr="00BA3224" w:rsidRDefault="006760C3" w:rsidP="000B6D16">
            <w:r w:rsidRPr="00BA3224">
              <w:t>A number of patients with cystic fibrosis also develop diabetes as a result of build</w:t>
            </w:r>
            <w:r w:rsidR="00506219" w:rsidRPr="00BA3224">
              <w:t>-</w:t>
            </w:r>
            <w:r w:rsidRPr="00BA3224">
              <w:t xml:space="preserve">up of </w:t>
            </w:r>
            <w:r w:rsidR="00F95CDA" w:rsidRPr="00BA3224">
              <w:t>secretions</w:t>
            </w:r>
            <w:r w:rsidR="00506219" w:rsidRPr="00BA3224">
              <w:t xml:space="preserve"> surrounding the pancreas and delayed/blunted</w:t>
            </w:r>
            <w:r w:rsidR="008F50FD" w:rsidRPr="00BA3224">
              <w:t xml:space="preserve"> </w:t>
            </w:r>
            <w:r w:rsidR="00B05A7B" w:rsidRPr="00BA3224">
              <w:t>1</w:t>
            </w:r>
            <w:r w:rsidR="00B05A7B" w:rsidRPr="000B6D16">
              <w:rPr>
                <w:vertAlign w:val="superscript"/>
              </w:rPr>
              <w:t>st</w:t>
            </w:r>
            <w:r w:rsidR="00B05A7B" w:rsidRPr="00BA3224">
              <w:t xml:space="preserve"> </w:t>
            </w:r>
            <w:r w:rsidR="00424B4C" w:rsidRPr="00BA3224">
              <w:t>phase insulin</w:t>
            </w:r>
            <w:r w:rsidR="002837D4" w:rsidRPr="00BA3224">
              <w:t xml:space="preserve"> release.</w:t>
            </w:r>
          </w:p>
          <w:p w:rsidR="00BC3E7F" w:rsidRPr="00477D6A" w:rsidRDefault="00BC3E7F" w:rsidP="00BC3E7F"/>
          <w:p w:rsidR="00BC3E7F" w:rsidRPr="00477D6A" w:rsidRDefault="00477D6A" w:rsidP="00BC3E7F">
            <w:r w:rsidRPr="00477D6A">
              <w:t>In Type 1 Diabetes</w:t>
            </w:r>
            <w:r w:rsidR="00BA3224">
              <w:t xml:space="preserve"> or after pancreatectomy</w:t>
            </w:r>
            <w:r w:rsidRPr="00477D6A">
              <w:t>, insulin is administered subcutaneously as injections</w:t>
            </w:r>
            <w:r>
              <w:t>,</w:t>
            </w:r>
            <w:r w:rsidRPr="00477D6A">
              <w:t xml:space="preserve"> or </w:t>
            </w:r>
            <w:r>
              <w:t xml:space="preserve">it </w:t>
            </w:r>
            <w:r w:rsidRPr="00477D6A">
              <w:t xml:space="preserve">may be given via an insulin pump as a </w:t>
            </w:r>
            <w:r>
              <w:t>‘</w:t>
            </w:r>
            <w:r w:rsidRPr="00477D6A">
              <w:t>continuous subcutaneous insulin infusion</w:t>
            </w:r>
            <w:r>
              <w:t>’</w:t>
            </w:r>
            <w:r w:rsidRPr="00477D6A">
              <w:t xml:space="preserve"> (CSII).   </w:t>
            </w:r>
            <w:r w:rsidR="00BC3E7F" w:rsidRPr="00477D6A">
              <w:t>CSII therapy makes use of an external pump that delivers insulin continuously from a refillable storage reservoir by means of a subcutaneous</w:t>
            </w:r>
            <w:r w:rsidRPr="00477D6A">
              <w:t xml:space="preserve">ly placed cannula. The pump is </w:t>
            </w:r>
            <w:r w:rsidR="00BC3E7F" w:rsidRPr="00477D6A">
              <w:t xml:space="preserve">programmed to deliver </w:t>
            </w:r>
            <w:r w:rsidRPr="00477D6A">
              <w:t xml:space="preserve">a continuous ‘background’ insulin infusion to cover </w:t>
            </w:r>
            <w:r w:rsidR="00BC3E7F" w:rsidRPr="00477D6A">
              <w:t xml:space="preserve">basal </w:t>
            </w:r>
            <w:r w:rsidRPr="00477D6A">
              <w:t>insulin requirements</w:t>
            </w:r>
            <w:r w:rsidR="00BC3E7F" w:rsidRPr="00477D6A">
              <w:t>, with higher infusion rates triggered by the push of a button at meal times</w:t>
            </w:r>
            <w:r w:rsidRPr="00477D6A">
              <w:t xml:space="preserve"> or to correct high blood glucose levels</w:t>
            </w:r>
            <w:r w:rsidR="00BC3E7F" w:rsidRPr="00477D6A">
              <w:t xml:space="preserve">. </w:t>
            </w:r>
            <w:r w:rsidRPr="00477D6A">
              <w:t xml:space="preserve"> Basal insulin requirements often vary throughout the 24 hour period and are individualised according to patient need.  Insulin boluses may be administered ‘immediately’,</w:t>
            </w:r>
            <w:r w:rsidR="00BC3E7F" w:rsidRPr="00477D6A">
              <w:t xml:space="preserve"> or over a </w:t>
            </w:r>
            <w:r w:rsidRPr="00477D6A">
              <w:t xml:space="preserve">longer </w:t>
            </w:r>
            <w:r w:rsidR="00BC3E7F" w:rsidRPr="00477D6A">
              <w:t>period of time</w:t>
            </w:r>
            <w:r w:rsidRPr="00477D6A">
              <w:t xml:space="preserve"> according to factors including meal composition</w:t>
            </w:r>
            <w:r w:rsidR="00BC3E7F" w:rsidRPr="00477D6A">
              <w:t>.</w:t>
            </w:r>
          </w:p>
          <w:p w:rsidR="00BC3E7F" w:rsidRPr="00477D6A" w:rsidRDefault="00BC3E7F" w:rsidP="00BC3E7F">
            <w:pPr>
              <w:autoSpaceDE w:val="0"/>
              <w:autoSpaceDN w:val="0"/>
              <w:adjustRightInd w:val="0"/>
              <w:rPr>
                <w:rFonts w:ascii="Calibri" w:hAnsi="Calibri" w:cs="Calibri"/>
              </w:rPr>
            </w:pPr>
          </w:p>
          <w:p w:rsidR="00BC3E7F" w:rsidRDefault="00477D6A" w:rsidP="00477D6A">
            <w:pPr>
              <w:rPr>
                <w:rFonts w:ascii="Calibri" w:hAnsi="Calibri" w:cs="Calibri"/>
              </w:rPr>
            </w:pPr>
            <w:r w:rsidRPr="00477D6A">
              <w:t xml:space="preserve">Insulin pump therapy is recommended by NICE TA151 as a treatment option for some patients with Type 1 Diabetes with the </w:t>
            </w:r>
            <w:r w:rsidR="00BC3E7F" w:rsidRPr="00477D6A">
              <w:rPr>
                <w:rFonts w:ascii="Calibri" w:hAnsi="Calibri" w:cs="Calibri"/>
              </w:rPr>
              <w:t xml:space="preserve">following objectives: </w:t>
            </w:r>
          </w:p>
          <w:p w:rsidR="004F531E" w:rsidRPr="00FF318F" w:rsidRDefault="004F531E" w:rsidP="00477D6A">
            <w:pPr>
              <w:rPr>
                <w:rFonts w:ascii="Calibri" w:hAnsi="Calibri" w:cs="Calibri"/>
              </w:rPr>
            </w:pPr>
          </w:p>
          <w:p w:rsidR="004F531E" w:rsidRPr="00FF318F" w:rsidRDefault="004F531E" w:rsidP="004F531E">
            <w:pPr>
              <w:numPr>
                <w:ilvl w:val="0"/>
                <w:numId w:val="8"/>
              </w:numPr>
              <w:tabs>
                <w:tab w:val="clear" w:pos="170"/>
                <w:tab w:val="num" w:pos="360"/>
              </w:tabs>
              <w:autoSpaceDE w:val="0"/>
              <w:autoSpaceDN w:val="0"/>
              <w:adjustRightInd w:val="0"/>
              <w:ind w:left="360" w:hanging="303"/>
              <w:rPr>
                <w:rFonts w:ascii="Calibri" w:hAnsi="Calibri" w:cs="Calibri"/>
              </w:rPr>
            </w:pPr>
            <w:r w:rsidRPr="00FF318F">
              <w:rPr>
                <w:rFonts w:ascii="Calibri" w:hAnsi="Calibri" w:cs="Calibri"/>
              </w:rPr>
              <w:t>Improved glycaemic control (reduced HbA1c)</w:t>
            </w:r>
          </w:p>
          <w:p w:rsidR="004F531E" w:rsidRPr="00FF318F" w:rsidRDefault="004F531E" w:rsidP="004F531E">
            <w:pPr>
              <w:numPr>
                <w:ilvl w:val="0"/>
                <w:numId w:val="8"/>
              </w:numPr>
              <w:tabs>
                <w:tab w:val="clear" w:pos="170"/>
                <w:tab w:val="num" w:pos="360"/>
              </w:tabs>
              <w:autoSpaceDE w:val="0"/>
              <w:autoSpaceDN w:val="0"/>
              <w:adjustRightInd w:val="0"/>
              <w:ind w:left="360" w:hanging="303"/>
              <w:rPr>
                <w:rFonts w:ascii="Calibri" w:hAnsi="Calibri" w:cs="Calibri"/>
              </w:rPr>
            </w:pPr>
            <w:r w:rsidRPr="00FF318F">
              <w:rPr>
                <w:rFonts w:ascii="Calibri" w:hAnsi="Calibri" w:cs="Calibri"/>
              </w:rPr>
              <w:t>Reduced rate of hypoglycaemia</w:t>
            </w:r>
          </w:p>
          <w:p w:rsidR="004F531E" w:rsidRPr="00FF318F" w:rsidRDefault="004F531E" w:rsidP="004F531E">
            <w:pPr>
              <w:autoSpaceDE w:val="0"/>
              <w:autoSpaceDN w:val="0"/>
              <w:adjustRightInd w:val="0"/>
              <w:ind w:left="360"/>
              <w:rPr>
                <w:rFonts w:ascii="Calibri" w:hAnsi="Calibri" w:cs="Calibri"/>
              </w:rPr>
            </w:pPr>
          </w:p>
          <w:p w:rsidR="004F531E" w:rsidRPr="00FF318F" w:rsidRDefault="004F531E" w:rsidP="004F531E">
            <w:pPr>
              <w:autoSpaceDE w:val="0"/>
              <w:autoSpaceDN w:val="0"/>
              <w:adjustRightInd w:val="0"/>
              <w:rPr>
                <w:rFonts w:ascii="Calibri" w:hAnsi="Calibri" w:cs="Calibri"/>
              </w:rPr>
            </w:pPr>
            <w:r w:rsidRPr="00FF318F">
              <w:rPr>
                <w:rFonts w:ascii="Calibri" w:hAnsi="Calibri" w:cs="Calibri"/>
              </w:rPr>
              <w:t xml:space="preserve">Appropriate targets for such improvements should be set by the responsible physician, in discussion with the person receiving the treatment or their carer. </w:t>
            </w:r>
          </w:p>
          <w:p w:rsidR="00BC3E7F" w:rsidRPr="00477D6A" w:rsidRDefault="00BC3E7F" w:rsidP="00BC3E7F">
            <w:pPr>
              <w:autoSpaceDE w:val="0"/>
              <w:autoSpaceDN w:val="0"/>
              <w:adjustRightInd w:val="0"/>
              <w:ind w:left="360"/>
              <w:rPr>
                <w:rFonts w:ascii="Calibri" w:hAnsi="Calibri" w:cs="Calibri"/>
              </w:rPr>
            </w:pPr>
          </w:p>
          <w:p w:rsidR="00037D38" w:rsidRDefault="00037D38" w:rsidP="00FF318F">
            <w:pPr>
              <w:autoSpaceDE w:val="0"/>
              <w:autoSpaceDN w:val="0"/>
              <w:adjustRightInd w:val="0"/>
              <w:rPr>
                <w:rFonts w:ascii="Arial" w:hAnsi="Arial" w:cs="Arial"/>
                <w:sz w:val="24"/>
              </w:rPr>
            </w:pPr>
          </w:p>
          <w:p w:rsidR="00FF318F" w:rsidRDefault="00FF318F" w:rsidP="00FF318F">
            <w:pPr>
              <w:autoSpaceDE w:val="0"/>
              <w:autoSpaceDN w:val="0"/>
              <w:adjustRightInd w:val="0"/>
              <w:rPr>
                <w:rFonts w:ascii="Arial" w:hAnsi="Arial" w:cs="Arial"/>
                <w:sz w:val="24"/>
              </w:rPr>
            </w:pPr>
          </w:p>
          <w:p w:rsidR="00FF318F" w:rsidRDefault="00FF318F" w:rsidP="00FF318F">
            <w:pPr>
              <w:autoSpaceDE w:val="0"/>
              <w:autoSpaceDN w:val="0"/>
              <w:adjustRightInd w:val="0"/>
              <w:rPr>
                <w:rFonts w:ascii="Arial" w:hAnsi="Arial" w:cs="Arial"/>
                <w:sz w:val="24"/>
              </w:rPr>
            </w:pPr>
          </w:p>
          <w:p w:rsidR="00FF318F" w:rsidRDefault="00FF318F" w:rsidP="00FF318F">
            <w:pPr>
              <w:autoSpaceDE w:val="0"/>
              <w:autoSpaceDN w:val="0"/>
              <w:adjustRightInd w:val="0"/>
              <w:rPr>
                <w:rFonts w:ascii="Arial" w:hAnsi="Arial" w:cs="Arial"/>
                <w:sz w:val="24"/>
              </w:rPr>
            </w:pPr>
          </w:p>
          <w:p w:rsidR="00FF318F" w:rsidRDefault="00FF318F" w:rsidP="00FF318F">
            <w:pPr>
              <w:autoSpaceDE w:val="0"/>
              <w:autoSpaceDN w:val="0"/>
              <w:adjustRightInd w:val="0"/>
              <w:rPr>
                <w:rFonts w:ascii="Arial" w:hAnsi="Arial" w:cs="Arial"/>
                <w:sz w:val="24"/>
              </w:rPr>
            </w:pPr>
          </w:p>
          <w:p w:rsidR="00FF318F" w:rsidRPr="001E2729" w:rsidRDefault="00FF318F" w:rsidP="00FF318F">
            <w:pPr>
              <w:autoSpaceDE w:val="0"/>
              <w:autoSpaceDN w:val="0"/>
              <w:adjustRightInd w:val="0"/>
              <w:rPr>
                <w:rFonts w:ascii="Arial" w:hAnsi="Arial" w:cs="Arial"/>
                <w:sz w:val="24"/>
              </w:rPr>
            </w:pPr>
          </w:p>
        </w:tc>
      </w:tr>
    </w:tbl>
    <w:p w:rsidR="009B5F6E" w:rsidRPr="009B5F6E" w:rsidRDefault="009B5F6E">
      <w:pPr>
        <w:rPr>
          <w:rFonts w:ascii="Arial" w:hAnsi="Arial" w:cs="Arial"/>
          <w:b/>
          <w:sz w:val="24"/>
        </w:rPr>
      </w:pPr>
      <w:r>
        <w:rPr>
          <w:rFonts w:ascii="Arial" w:hAnsi="Arial" w:cs="Arial"/>
          <w:b/>
          <w:sz w:val="24"/>
        </w:rPr>
        <w:t>PROPOSED REVISED CRITERIA</w:t>
      </w:r>
    </w:p>
    <w:tbl>
      <w:tblPr>
        <w:tblStyle w:val="TableGrid"/>
        <w:tblW w:w="10031" w:type="dxa"/>
        <w:tblLayout w:type="fixed"/>
        <w:tblLook w:val="04A0" w:firstRow="1" w:lastRow="0" w:firstColumn="1" w:lastColumn="0" w:noHBand="0" w:noVBand="1"/>
      </w:tblPr>
      <w:tblGrid>
        <w:gridCol w:w="1526"/>
        <w:gridCol w:w="8505"/>
      </w:tblGrid>
      <w:tr w:rsidR="00963599" w:rsidRPr="001E2729" w:rsidTr="00B837BF">
        <w:tc>
          <w:tcPr>
            <w:tcW w:w="1526" w:type="dxa"/>
            <w:shd w:val="clear" w:color="auto" w:fill="8DB3E2" w:themeFill="text2" w:themeFillTint="66"/>
          </w:tcPr>
          <w:p w:rsidR="00963599" w:rsidRPr="00F44BEA" w:rsidRDefault="00963599" w:rsidP="001E2729">
            <w:pPr>
              <w:tabs>
                <w:tab w:val="left" w:pos="1740"/>
              </w:tabs>
              <w:rPr>
                <w:rFonts w:cs="Arial"/>
                <w:b/>
                <w:sz w:val="24"/>
                <w:szCs w:val="24"/>
              </w:rPr>
            </w:pPr>
            <w:r w:rsidRPr="00F44BEA">
              <w:rPr>
                <w:rFonts w:cs="Arial"/>
                <w:b/>
                <w:sz w:val="24"/>
                <w:szCs w:val="24"/>
              </w:rPr>
              <w:t xml:space="preserve">Intervention </w:t>
            </w:r>
            <w:r w:rsidR="001E2729" w:rsidRPr="00F44BEA">
              <w:rPr>
                <w:rFonts w:cs="Arial"/>
                <w:b/>
                <w:sz w:val="24"/>
                <w:szCs w:val="24"/>
              </w:rPr>
              <w:tab/>
            </w:r>
          </w:p>
        </w:tc>
        <w:tc>
          <w:tcPr>
            <w:tcW w:w="8505" w:type="dxa"/>
            <w:shd w:val="clear" w:color="auto" w:fill="8DB3E2" w:themeFill="text2" w:themeFillTint="66"/>
          </w:tcPr>
          <w:p w:rsidR="00963599" w:rsidRPr="00F44BEA" w:rsidRDefault="00BC3E7F" w:rsidP="00B16B78">
            <w:pPr>
              <w:keepNext/>
              <w:keepLines/>
              <w:widowControl w:val="0"/>
              <w:outlineLvl w:val="2"/>
              <w:rPr>
                <w:rFonts w:cs="Arial"/>
                <w:b/>
                <w:sz w:val="24"/>
                <w:szCs w:val="24"/>
              </w:rPr>
            </w:pPr>
            <w:r w:rsidRPr="00BC3E7F">
              <w:rPr>
                <w:rFonts w:cs="Arial"/>
                <w:b/>
                <w:sz w:val="24"/>
                <w:szCs w:val="24"/>
              </w:rPr>
              <w:t>Continuous Sub-Cutaneous Insulin Infusion</w:t>
            </w:r>
          </w:p>
        </w:tc>
      </w:tr>
      <w:tr w:rsidR="00963599" w:rsidRPr="001E2729" w:rsidTr="00B837BF">
        <w:trPr>
          <w:trHeight w:val="408"/>
        </w:trPr>
        <w:tc>
          <w:tcPr>
            <w:tcW w:w="1526" w:type="dxa"/>
          </w:tcPr>
          <w:p w:rsidR="00B16B78" w:rsidRPr="00F44BEA" w:rsidRDefault="00963599" w:rsidP="00B16B78">
            <w:pPr>
              <w:rPr>
                <w:rFonts w:cs="Arial"/>
                <w:b/>
                <w:sz w:val="24"/>
                <w:szCs w:val="24"/>
              </w:rPr>
            </w:pPr>
            <w:r w:rsidRPr="00F44BEA">
              <w:rPr>
                <w:rFonts w:cs="Arial"/>
                <w:b/>
                <w:sz w:val="24"/>
                <w:szCs w:val="24"/>
              </w:rPr>
              <w:t>OPCS Code</w:t>
            </w:r>
            <w:r w:rsidR="001E2729" w:rsidRPr="00F44BEA">
              <w:rPr>
                <w:rFonts w:cs="Arial"/>
                <w:b/>
                <w:sz w:val="24"/>
                <w:szCs w:val="24"/>
              </w:rPr>
              <w:t xml:space="preserve">(s) </w:t>
            </w:r>
          </w:p>
          <w:p w:rsidR="00963599" w:rsidRPr="00F44BEA" w:rsidRDefault="001E2729" w:rsidP="00B16B78">
            <w:pPr>
              <w:rPr>
                <w:rFonts w:cs="Arial"/>
                <w:b/>
                <w:sz w:val="24"/>
                <w:szCs w:val="24"/>
              </w:rPr>
            </w:pPr>
            <w:r w:rsidRPr="00F44BEA">
              <w:rPr>
                <w:rFonts w:cs="Arial"/>
                <w:b/>
                <w:sz w:val="24"/>
                <w:szCs w:val="24"/>
              </w:rPr>
              <w:t>[</w:t>
            </w:r>
            <w:r w:rsidR="00B16B78" w:rsidRPr="00F44BEA">
              <w:rPr>
                <w:rFonts w:cs="Arial"/>
                <w:b/>
                <w:sz w:val="24"/>
                <w:szCs w:val="24"/>
              </w:rPr>
              <w:t>tbc</w:t>
            </w:r>
            <w:r w:rsidRPr="00F44BEA">
              <w:rPr>
                <w:rFonts w:cs="Arial"/>
                <w:b/>
                <w:sz w:val="24"/>
                <w:szCs w:val="24"/>
              </w:rPr>
              <w:t>]</w:t>
            </w:r>
          </w:p>
        </w:tc>
        <w:tc>
          <w:tcPr>
            <w:tcW w:w="8505" w:type="dxa"/>
          </w:tcPr>
          <w:p w:rsidR="00963599" w:rsidRPr="00F54298" w:rsidRDefault="00037D38" w:rsidP="00B16B78">
            <w:pPr>
              <w:rPr>
                <w:rFonts w:cs="Arial"/>
                <w:b/>
                <w:sz w:val="24"/>
                <w:szCs w:val="24"/>
              </w:rPr>
            </w:pPr>
            <w:r w:rsidRPr="00F54298">
              <w:rPr>
                <w:rFonts w:cs="Arial"/>
                <w:b/>
                <w:sz w:val="24"/>
                <w:szCs w:val="24"/>
              </w:rPr>
              <w:t>tbc</w:t>
            </w:r>
          </w:p>
        </w:tc>
      </w:tr>
      <w:tr w:rsidR="00672454" w:rsidRPr="001E2729" w:rsidTr="00B837BF">
        <w:trPr>
          <w:trHeight w:val="408"/>
        </w:trPr>
        <w:tc>
          <w:tcPr>
            <w:tcW w:w="1526" w:type="dxa"/>
          </w:tcPr>
          <w:p w:rsidR="00672454" w:rsidRPr="00F44BEA" w:rsidRDefault="00F44BEA" w:rsidP="00B16B78">
            <w:pPr>
              <w:rPr>
                <w:rFonts w:cs="Arial"/>
                <w:b/>
                <w:sz w:val="24"/>
                <w:szCs w:val="24"/>
              </w:rPr>
            </w:pPr>
            <w:r w:rsidRPr="00F44BEA">
              <w:rPr>
                <w:rFonts w:cs="Arial"/>
                <w:b/>
                <w:sz w:val="24"/>
                <w:szCs w:val="24"/>
              </w:rPr>
              <w:t>Policy Statement</w:t>
            </w:r>
          </w:p>
        </w:tc>
        <w:tc>
          <w:tcPr>
            <w:tcW w:w="8505" w:type="dxa"/>
          </w:tcPr>
          <w:p w:rsidR="00672454" w:rsidRPr="00F54298" w:rsidRDefault="00037D38" w:rsidP="00037D38">
            <w:pPr>
              <w:rPr>
                <w:rFonts w:cs="Arial"/>
                <w:b/>
                <w:sz w:val="24"/>
                <w:szCs w:val="24"/>
              </w:rPr>
            </w:pPr>
            <w:r w:rsidRPr="00F54298">
              <w:rPr>
                <w:rFonts w:cs="Arial"/>
                <w:b/>
                <w:sz w:val="24"/>
                <w:szCs w:val="24"/>
              </w:rPr>
              <w:t>Restricted</w:t>
            </w:r>
          </w:p>
        </w:tc>
      </w:tr>
      <w:tr w:rsidR="00963599" w:rsidRPr="001E2729" w:rsidTr="00B837BF">
        <w:trPr>
          <w:trHeight w:val="1509"/>
        </w:trPr>
        <w:tc>
          <w:tcPr>
            <w:tcW w:w="1526" w:type="dxa"/>
          </w:tcPr>
          <w:p w:rsidR="00963599" w:rsidRPr="00F44BEA" w:rsidRDefault="00963599" w:rsidP="001713B7">
            <w:pPr>
              <w:rPr>
                <w:rFonts w:cs="Arial"/>
                <w:b/>
                <w:sz w:val="24"/>
                <w:szCs w:val="24"/>
              </w:rPr>
            </w:pPr>
            <w:r w:rsidRPr="00F44BEA">
              <w:rPr>
                <w:rFonts w:cs="Arial"/>
                <w:b/>
                <w:sz w:val="24"/>
                <w:szCs w:val="24"/>
              </w:rPr>
              <w:t>Minimum eligibility criteria</w:t>
            </w:r>
          </w:p>
        </w:tc>
        <w:tc>
          <w:tcPr>
            <w:tcW w:w="8505" w:type="dxa"/>
          </w:tcPr>
          <w:p w:rsidR="00BC3E7F" w:rsidRDefault="00BC3E7F" w:rsidP="004477DA">
            <w:pPr>
              <w:pStyle w:val="NormalWeb"/>
              <w:spacing w:after="0" w:afterAutospacing="0"/>
              <w:rPr>
                <w:rFonts w:ascii="Calibri" w:eastAsiaTheme="minorHAnsi" w:hAnsi="Calibri" w:cs="Calibri"/>
                <w:color w:val="000000"/>
                <w:sz w:val="22"/>
                <w:szCs w:val="22"/>
                <w:lang w:val="en-GB"/>
              </w:rPr>
            </w:pPr>
            <w:r w:rsidRPr="00BC3E7F">
              <w:rPr>
                <w:rFonts w:ascii="Calibri" w:eastAsiaTheme="minorHAnsi" w:hAnsi="Calibri" w:cs="Calibri"/>
                <w:color w:val="000000"/>
                <w:sz w:val="22"/>
                <w:szCs w:val="22"/>
                <w:lang w:val="en-GB"/>
              </w:rPr>
              <w:t>NICE technology appraisal TA151 on insulin pump therapy states that continuous subcutaneous insulin pump therapy is recommended as a treatment option for adults and children 12 years and older with type 1 diabetes mellitus provided that:</w:t>
            </w:r>
          </w:p>
          <w:p w:rsidR="004477DA" w:rsidRPr="004477DA" w:rsidRDefault="004477DA" w:rsidP="004477DA">
            <w:pPr>
              <w:pStyle w:val="NormalWeb"/>
              <w:spacing w:before="0" w:beforeAutospacing="0" w:after="0" w:afterAutospacing="0"/>
              <w:rPr>
                <w:rFonts w:ascii="Calibri" w:eastAsiaTheme="minorHAnsi" w:hAnsi="Calibri" w:cs="Calibri"/>
                <w:color w:val="000000"/>
                <w:sz w:val="16"/>
                <w:szCs w:val="16"/>
                <w:lang w:val="en-GB"/>
              </w:rPr>
            </w:pPr>
          </w:p>
          <w:p w:rsidR="00BC3E7F" w:rsidRPr="00BC3E7F" w:rsidRDefault="00BC3E7F" w:rsidP="00F54298">
            <w:pPr>
              <w:numPr>
                <w:ilvl w:val="0"/>
                <w:numId w:val="9"/>
              </w:numPr>
              <w:rPr>
                <w:rFonts w:ascii="Calibri" w:hAnsi="Calibri" w:cs="Calibri"/>
                <w:color w:val="000000"/>
              </w:rPr>
            </w:pPr>
            <w:r w:rsidRPr="00BC3E7F">
              <w:rPr>
                <w:rFonts w:ascii="Calibri" w:hAnsi="Calibri" w:cs="Calibri"/>
                <w:color w:val="000000"/>
              </w:rPr>
              <w:t xml:space="preserve">Attempts to achieve target haemoglobin A1c (HbA1c) levels with multiple daily injections (MDIs) result in the person experiencing disabling hypoglycaemia. NICE guidance defines disabling hypoglycaemia as the repeated and unpredictable occurrence of hypoglycaemia that results in persistent anxiety about recurrence and is associated with a significant adverse effect on quality of life. </w:t>
            </w:r>
          </w:p>
          <w:p w:rsidR="00BC3E7F" w:rsidRPr="00BC3E7F" w:rsidRDefault="00BC3E7F" w:rsidP="00F54298">
            <w:pPr>
              <w:pStyle w:val="NormalWeb"/>
              <w:spacing w:before="0" w:beforeAutospacing="0" w:after="0" w:afterAutospacing="0"/>
              <w:rPr>
                <w:rFonts w:ascii="Calibri" w:eastAsiaTheme="minorHAnsi" w:hAnsi="Calibri" w:cs="Calibri"/>
                <w:color w:val="000000"/>
                <w:sz w:val="22"/>
                <w:szCs w:val="22"/>
                <w:lang w:val="en-GB"/>
              </w:rPr>
            </w:pPr>
            <w:r w:rsidRPr="00BC3E7F">
              <w:rPr>
                <w:rFonts w:ascii="Calibri" w:eastAsiaTheme="minorHAnsi" w:hAnsi="Calibri" w:cs="Calibri"/>
                <w:color w:val="000000"/>
                <w:sz w:val="22"/>
                <w:szCs w:val="22"/>
                <w:lang w:val="en-GB"/>
              </w:rPr>
              <w:t>or</w:t>
            </w:r>
          </w:p>
          <w:p w:rsidR="00BC3E7F" w:rsidRDefault="00BC3E7F" w:rsidP="00F54298">
            <w:pPr>
              <w:numPr>
                <w:ilvl w:val="0"/>
                <w:numId w:val="9"/>
              </w:numPr>
              <w:rPr>
                <w:rFonts w:ascii="Calibri" w:hAnsi="Calibri" w:cs="Calibri"/>
                <w:color w:val="000000"/>
              </w:rPr>
            </w:pPr>
            <w:r w:rsidRPr="00BC3E7F">
              <w:rPr>
                <w:rFonts w:ascii="Calibri" w:hAnsi="Calibri" w:cs="Calibri"/>
                <w:color w:val="000000"/>
              </w:rPr>
              <w:t xml:space="preserve">HbA1c levels have remained high (that is, at 8.5% </w:t>
            </w:r>
            <w:r w:rsidR="00203A96">
              <w:rPr>
                <w:rFonts w:ascii="Calibri" w:hAnsi="Calibri" w:cs="Calibri"/>
                <w:color w:val="000000"/>
              </w:rPr>
              <w:t xml:space="preserve">(69 mmol/mol) </w:t>
            </w:r>
            <w:r w:rsidRPr="00BC3E7F">
              <w:rPr>
                <w:rFonts w:ascii="Calibri" w:hAnsi="Calibri" w:cs="Calibri"/>
                <w:color w:val="000000"/>
              </w:rPr>
              <w:t xml:space="preserve">or above on MDI therapy (including, if appropriate, the use of long-acting insulin analogues) despite a high level of care. </w:t>
            </w:r>
          </w:p>
          <w:p w:rsidR="004477DA" w:rsidRPr="004477DA" w:rsidRDefault="004477DA" w:rsidP="004477DA">
            <w:pPr>
              <w:ind w:left="720"/>
              <w:rPr>
                <w:rFonts w:ascii="Calibri" w:hAnsi="Calibri" w:cs="Calibri"/>
                <w:color w:val="000000"/>
                <w:sz w:val="16"/>
                <w:szCs w:val="16"/>
              </w:rPr>
            </w:pPr>
          </w:p>
          <w:p w:rsidR="00BC3E7F" w:rsidRDefault="00BC3E7F" w:rsidP="004477DA">
            <w:pPr>
              <w:pStyle w:val="NormalWeb"/>
              <w:spacing w:before="0" w:beforeAutospacing="0" w:after="0" w:afterAutospacing="0"/>
              <w:rPr>
                <w:rFonts w:ascii="Calibri" w:eastAsiaTheme="minorHAnsi" w:hAnsi="Calibri" w:cs="Calibri"/>
                <w:color w:val="000000"/>
                <w:sz w:val="22"/>
                <w:szCs w:val="22"/>
                <w:lang w:val="en-GB"/>
              </w:rPr>
            </w:pPr>
            <w:r w:rsidRPr="00BC3E7F">
              <w:rPr>
                <w:rFonts w:ascii="Calibri" w:eastAsiaTheme="minorHAnsi" w:hAnsi="Calibri" w:cs="Calibri"/>
                <w:color w:val="000000"/>
                <w:sz w:val="22"/>
                <w:szCs w:val="22"/>
                <w:lang w:val="en-GB"/>
              </w:rPr>
              <w:t>Insulin pump therapy is recommended as a treatment option for children younger than 12 years with type 1 diabetes mellitus provided that:</w:t>
            </w:r>
          </w:p>
          <w:p w:rsidR="004477DA" w:rsidRPr="004477DA" w:rsidRDefault="004477DA" w:rsidP="004477DA">
            <w:pPr>
              <w:pStyle w:val="NormalWeb"/>
              <w:spacing w:before="0" w:beforeAutospacing="0" w:after="0" w:afterAutospacing="0"/>
              <w:rPr>
                <w:rFonts w:ascii="Calibri" w:eastAsiaTheme="minorHAnsi" w:hAnsi="Calibri" w:cs="Calibri"/>
                <w:color w:val="000000"/>
                <w:sz w:val="16"/>
                <w:szCs w:val="16"/>
                <w:lang w:val="en-GB"/>
              </w:rPr>
            </w:pPr>
          </w:p>
          <w:p w:rsidR="00BC3E7F" w:rsidRPr="00FF318F" w:rsidRDefault="00BC3E7F" w:rsidP="004477DA">
            <w:pPr>
              <w:numPr>
                <w:ilvl w:val="0"/>
                <w:numId w:val="9"/>
              </w:numPr>
              <w:spacing w:after="100" w:afterAutospacing="1"/>
              <w:rPr>
                <w:rFonts w:ascii="Calibri" w:hAnsi="Calibri" w:cs="Calibri"/>
              </w:rPr>
            </w:pPr>
            <w:r w:rsidRPr="00FF318F">
              <w:rPr>
                <w:rFonts w:ascii="Calibri" w:hAnsi="Calibri" w:cs="Calibri"/>
              </w:rPr>
              <w:t xml:space="preserve">MDI therapy is considered to be impractical or inappropriate, and </w:t>
            </w:r>
          </w:p>
          <w:p w:rsidR="004F531E" w:rsidRPr="004477DA" w:rsidRDefault="00FF318F" w:rsidP="004477DA">
            <w:pPr>
              <w:numPr>
                <w:ilvl w:val="0"/>
                <w:numId w:val="9"/>
              </w:numPr>
              <w:rPr>
                <w:rFonts w:ascii="Calibri" w:hAnsi="Calibri" w:cs="Calibri"/>
              </w:rPr>
            </w:pPr>
            <w:r w:rsidRPr="00FF318F">
              <w:rPr>
                <w:rFonts w:eastAsia="Times New Roman"/>
              </w:rPr>
              <w:t>C</w:t>
            </w:r>
            <w:r w:rsidR="004F531E" w:rsidRPr="00FF318F">
              <w:rPr>
                <w:rFonts w:eastAsia="Times New Roman"/>
              </w:rPr>
              <w:t>hildren on insulin pumps would be expected to undergo a trial of MDI therapy between the ages of 12 and 18 years</w:t>
            </w:r>
            <w:r w:rsidR="0056179C" w:rsidRPr="00FF318F">
              <w:rPr>
                <w:rFonts w:eastAsia="Times New Roman"/>
              </w:rPr>
              <w:t>.</w:t>
            </w:r>
          </w:p>
          <w:p w:rsidR="004477DA" w:rsidRPr="004477DA" w:rsidRDefault="004477DA" w:rsidP="004477DA">
            <w:pPr>
              <w:ind w:left="720"/>
              <w:rPr>
                <w:rFonts w:ascii="Calibri" w:hAnsi="Calibri" w:cs="Calibri"/>
                <w:sz w:val="16"/>
                <w:szCs w:val="16"/>
              </w:rPr>
            </w:pPr>
          </w:p>
          <w:p w:rsidR="004477DA" w:rsidRDefault="004477DA" w:rsidP="00FA4335">
            <w:pPr>
              <w:rPr>
                <w:rFonts w:ascii="Calibri" w:hAnsi="Calibri" w:cs="Calibri"/>
              </w:rPr>
            </w:pPr>
            <w:r>
              <w:rPr>
                <w:rFonts w:ascii="Calibri" w:hAnsi="Calibri" w:cs="Calibri"/>
              </w:rPr>
              <w:t>Insulin pump therapy is also recommended as a treatment option for patients who have had a pancreatectomy and meet the criteria in NICE TA151.</w:t>
            </w:r>
          </w:p>
          <w:p w:rsidR="00FA4335" w:rsidRPr="000D48BD" w:rsidRDefault="00FA4335" w:rsidP="00FA4335">
            <w:pPr>
              <w:rPr>
                <w:rFonts w:ascii="Calibri" w:hAnsi="Calibri" w:cs="Calibri"/>
                <w:sz w:val="16"/>
                <w:szCs w:val="16"/>
              </w:rPr>
            </w:pPr>
          </w:p>
          <w:p w:rsidR="002478E4" w:rsidRPr="006B6DCA" w:rsidRDefault="002478E4" w:rsidP="004477DA">
            <w:pPr>
              <w:rPr>
                <w:rFonts w:cstheme="minorHAnsi"/>
              </w:rPr>
            </w:pPr>
            <w:r w:rsidRPr="006B6DCA">
              <w:rPr>
                <w:rFonts w:ascii="Calibri" w:hAnsi="Calibri" w:cs="Calibri"/>
              </w:rPr>
              <w:t>Insulin pump therapy is also recommended for a small cohort of patients with cystic fibrosis-related diabetes</w:t>
            </w:r>
            <w:r w:rsidR="0034318E" w:rsidRPr="006B6DCA">
              <w:rPr>
                <w:rFonts w:ascii="Calibri" w:hAnsi="Calibri" w:cs="Calibri"/>
              </w:rPr>
              <w:t xml:space="preserve"> </w:t>
            </w:r>
            <w:r w:rsidR="0034318E" w:rsidRPr="006B6DCA">
              <w:rPr>
                <w:rFonts w:cstheme="minorHAnsi"/>
              </w:rPr>
              <w:t>(CFRD), as identified by the Advanced Nurse Practitioner for CFRD / CF specialist team at Liverpool Heart and Chest Hospital</w:t>
            </w:r>
            <w:r w:rsidR="006B6DCA">
              <w:rPr>
                <w:rFonts w:cstheme="minorHAnsi"/>
              </w:rPr>
              <w:t xml:space="preserve"> or the CFRD MDT (Endocrinologist, Diabetes nurse specialist, Dietician) based at Alder Hey Children’s Hospital for children and young people</w:t>
            </w:r>
            <w:r w:rsidR="0034318E" w:rsidRPr="006B6DCA">
              <w:rPr>
                <w:rFonts w:cstheme="minorHAnsi"/>
              </w:rPr>
              <w:t xml:space="preserve">. </w:t>
            </w:r>
            <w:r w:rsidRPr="006B6DCA">
              <w:rPr>
                <w:rFonts w:ascii="Calibri" w:hAnsi="Calibri" w:cs="Calibri"/>
              </w:rPr>
              <w:t>These would be patients whose diabetes is not controlled despite carefully managed multiple daily injections and carbohydrate awareness</w:t>
            </w:r>
            <w:r w:rsidR="00EB65D8" w:rsidRPr="006B6DCA">
              <w:rPr>
                <w:rFonts w:ascii="Calibri" w:hAnsi="Calibri" w:cs="Calibri"/>
              </w:rPr>
              <w:t>.</w:t>
            </w:r>
            <w:r w:rsidR="00A31544" w:rsidRPr="006B6DCA">
              <w:rPr>
                <w:rFonts w:ascii="Calibri" w:hAnsi="Calibri" w:cs="Calibri"/>
              </w:rPr>
              <w:t xml:space="preserve"> </w:t>
            </w:r>
          </w:p>
          <w:p w:rsidR="002478E4" w:rsidRPr="006B6DCA" w:rsidRDefault="002478E4" w:rsidP="002478E4">
            <w:pPr>
              <w:rPr>
                <w:rFonts w:ascii="Calibri" w:hAnsi="Calibri" w:cs="Calibri"/>
              </w:rPr>
            </w:pPr>
            <w:r w:rsidRPr="006B6DCA">
              <w:rPr>
                <w:rFonts w:ascii="Calibri" w:hAnsi="Calibri" w:cs="Calibri"/>
              </w:rPr>
              <w:t>and/or</w:t>
            </w:r>
          </w:p>
          <w:p w:rsidR="002478E4" w:rsidRPr="006B6DCA" w:rsidRDefault="002478E4" w:rsidP="002478E4">
            <w:pPr>
              <w:numPr>
                <w:ilvl w:val="0"/>
                <w:numId w:val="19"/>
              </w:numPr>
              <w:rPr>
                <w:rFonts w:ascii="Calibri" w:hAnsi="Calibri" w:cs="Calibri"/>
              </w:rPr>
            </w:pPr>
            <w:r w:rsidRPr="006B6DCA">
              <w:rPr>
                <w:rFonts w:ascii="Calibri" w:hAnsi="Calibri" w:cs="Calibri"/>
              </w:rPr>
              <w:t>At least two hypoglycaemic episodes per day</w:t>
            </w:r>
          </w:p>
          <w:p w:rsidR="002478E4" w:rsidRPr="006B6DCA" w:rsidRDefault="002478E4" w:rsidP="002478E4">
            <w:pPr>
              <w:rPr>
                <w:rFonts w:ascii="Calibri" w:hAnsi="Calibri" w:cs="Calibri"/>
              </w:rPr>
            </w:pPr>
            <w:r w:rsidRPr="006B6DCA">
              <w:rPr>
                <w:rFonts w:ascii="Calibri" w:hAnsi="Calibri" w:cs="Calibri"/>
              </w:rPr>
              <w:t>and/or</w:t>
            </w:r>
          </w:p>
          <w:p w:rsidR="002D2B03" w:rsidRPr="006B6DCA" w:rsidRDefault="002478E4" w:rsidP="002D2B03">
            <w:pPr>
              <w:numPr>
                <w:ilvl w:val="0"/>
                <w:numId w:val="19"/>
              </w:numPr>
              <w:rPr>
                <w:rFonts w:ascii="Calibri" w:hAnsi="Calibri" w:cs="Calibri"/>
              </w:rPr>
            </w:pPr>
            <w:r w:rsidRPr="006B6DCA">
              <w:rPr>
                <w:rFonts w:ascii="Calibri" w:hAnsi="Calibri" w:cs="Calibri"/>
              </w:rPr>
              <w:t>A complete loss of hypoglycaemia awareness</w:t>
            </w:r>
          </w:p>
          <w:p w:rsidR="00FA4335" w:rsidRPr="006B6DCA" w:rsidRDefault="00FA4335" w:rsidP="002D2B03">
            <w:pPr>
              <w:numPr>
                <w:ilvl w:val="0"/>
                <w:numId w:val="19"/>
              </w:numPr>
              <w:rPr>
                <w:rFonts w:ascii="Calibri" w:hAnsi="Calibri" w:cs="Calibri"/>
              </w:rPr>
            </w:pPr>
          </w:p>
          <w:p w:rsidR="002478E4" w:rsidRPr="006B6DCA" w:rsidRDefault="00FA4335" w:rsidP="00606260">
            <w:pPr>
              <w:rPr>
                <w:rFonts w:ascii="Calibri" w:hAnsi="Calibri" w:cs="Calibri"/>
              </w:rPr>
            </w:pPr>
            <w:r w:rsidRPr="006B6DCA">
              <w:rPr>
                <w:rFonts w:ascii="Calibri" w:hAnsi="Calibri" w:cs="Calibri"/>
              </w:rPr>
              <w:t xml:space="preserve">HbA1c is an unreliable measure of glycaemia in patients with CFRD owing to their increased red cell destruction. Guidelines recommend that decisions are </w:t>
            </w:r>
            <w:r w:rsidR="00A634FF" w:rsidRPr="006B6DCA">
              <w:rPr>
                <w:rFonts w:ascii="Calibri" w:hAnsi="Calibri" w:cs="Calibri"/>
              </w:rPr>
              <w:t xml:space="preserve">not based on HbA1c but are </w:t>
            </w:r>
            <w:r w:rsidRPr="006B6DCA">
              <w:rPr>
                <w:rFonts w:ascii="Calibri" w:hAnsi="Calibri" w:cs="Calibri"/>
              </w:rPr>
              <w:t>based on glycaemic variability, especially hypoglycaemia.</w:t>
            </w:r>
          </w:p>
          <w:p w:rsidR="00037D38" w:rsidRDefault="00BC3E7F" w:rsidP="00BC3E7F">
            <w:pPr>
              <w:rPr>
                <w:rFonts w:ascii="Calibri" w:hAnsi="Calibri" w:cs="Calibri"/>
                <w:color w:val="000000"/>
              </w:rPr>
            </w:pPr>
            <w:r w:rsidRPr="006B6DCA">
              <w:rPr>
                <w:rFonts w:ascii="Calibri" w:hAnsi="Calibri" w:cs="Calibri"/>
                <w:color w:val="000000"/>
              </w:rPr>
              <w:t>Insulin pump therapy is not recommended for the treatment of people with type 2 diabetes mellitus.</w:t>
            </w:r>
          </w:p>
          <w:p w:rsidR="00B837BF" w:rsidRPr="0012753E" w:rsidRDefault="00B837BF" w:rsidP="00BC3E7F">
            <w:pPr>
              <w:rPr>
                <w:rFonts w:ascii="Calibri" w:hAnsi="Calibri" w:cs="Calibri"/>
                <w:color w:val="000000"/>
                <w:sz w:val="18"/>
              </w:rPr>
            </w:pPr>
          </w:p>
          <w:p w:rsidR="00B837BF" w:rsidRPr="00E46175" w:rsidRDefault="00B837BF" w:rsidP="00B837BF">
            <w:pPr>
              <w:ind w:right="175"/>
              <w:jc w:val="both"/>
              <w:rPr>
                <w:rFonts w:ascii="Calibri" w:hAnsi="Calibri" w:cs="Calibri"/>
              </w:rPr>
            </w:pPr>
            <w:r>
              <w:rPr>
                <w:rFonts w:ascii="Calibri" w:hAnsi="Calibri" w:cs="Calibri"/>
                <w:color w:val="000000"/>
              </w:rPr>
              <w:t>T</w:t>
            </w:r>
            <w:r w:rsidRPr="00B837BF">
              <w:rPr>
                <w:rFonts w:ascii="Calibri" w:hAnsi="Calibri" w:cs="Calibri"/>
                <w:color w:val="000000"/>
              </w:rPr>
              <w:t>his policy proposes that all currently available insulin pumps should be available for</w:t>
            </w:r>
            <w:r w:rsidR="004477DA">
              <w:rPr>
                <w:rFonts w:ascii="Calibri" w:hAnsi="Calibri" w:cs="Calibri"/>
                <w:color w:val="000000"/>
              </w:rPr>
              <w:t xml:space="preserve"> eligible </w:t>
            </w:r>
            <w:r w:rsidRPr="00B837BF">
              <w:rPr>
                <w:rFonts w:ascii="Calibri" w:hAnsi="Calibri" w:cs="Calibri"/>
                <w:color w:val="000000"/>
              </w:rPr>
              <w:t>patients</w:t>
            </w:r>
            <w:r w:rsidR="004477DA">
              <w:rPr>
                <w:rFonts w:ascii="Calibri" w:hAnsi="Calibri" w:cs="Calibri"/>
                <w:color w:val="000000"/>
              </w:rPr>
              <w:t xml:space="preserve"> defined above</w:t>
            </w:r>
            <w:r w:rsidRPr="00E46175">
              <w:rPr>
                <w:rFonts w:ascii="Calibri" w:hAnsi="Calibri" w:cs="Calibri"/>
              </w:rPr>
              <w:t xml:space="preserve"> (</w:t>
            </w:r>
            <w:r w:rsidR="00510C0E" w:rsidRPr="00E46175">
              <w:rPr>
                <w:rFonts w:ascii="Calibri" w:hAnsi="Calibri" w:cs="Calibri"/>
              </w:rPr>
              <w:t xml:space="preserve">see </w:t>
            </w:r>
            <w:r w:rsidR="000E4908" w:rsidRPr="00E46175">
              <w:rPr>
                <w:rFonts w:ascii="Calibri" w:hAnsi="Calibri" w:cs="Calibri"/>
              </w:rPr>
              <w:t>t</w:t>
            </w:r>
            <w:r w:rsidR="00510C0E" w:rsidRPr="00E46175">
              <w:rPr>
                <w:rFonts w:ascii="Calibri" w:hAnsi="Calibri" w:cs="Calibri"/>
              </w:rPr>
              <w:t>able</w:t>
            </w:r>
            <w:r w:rsidR="000E4908" w:rsidRPr="00E46175">
              <w:rPr>
                <w:rFonts w:ascii="Calibri" w:hAnsi="Calibri" w:cs="Calibri"/>
              </w:rPr>
              <w:t>)</w:t>
            </w:r>
            <w:r w:rsidRPr="00E46175">
              <w:rPr>
                <w:rFonts w:ascii="Calibri" w:hAnsi="Calibri" w:cs="Calibri"/>
              </w:rPr>
              <w:t>.</w:t>
            </w:r>
          </w:p>
          <w:p w:rsidR="002478E4" w:rsidRDefault="002478E4" w:rsidP="00B837BF">
            <w:pPr>
              <w:ind w:right="175"/>
              <w:jc w:val="both"/>
              <w:rPr>
                <w:rFonts w:ascii="Calibri" w:hAnsi="Calibri" w:cs="Calibri"/>
                <w:b/>
              </w:rPr>
            </w:pPr>
          </w:p>
          <w:p w:rsidR="002478E4" w:rsidRPr="00E46175" w:rsidRDefault="002478E4" w:rsidP="00B837BF">
            <w:pPr>
              <w:ind w:right="175"/>
              <w:jc w:val="both"/>
              <w:rPr>
                <w:rFonts w:ascii="Calibri" w:hAnsi="Calibri" w:cs="Calibri"/>
                <w:b/>
              </w:rPr>
            </w:pPr>
          </w:p>
          <w:tbl>
            <w:tblPr>
              <w:tblpPr w:leftFromText="180" w:rightFromText="180" w:vertAnchor="text" w:horzAnchor="margin" w:tblpY="12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1134"/>
              <w:gridCol w:w="1843"/>
              <w:gridCol w:w="1417"/>
              <w:gridCol w:w="1418"/>
            </w:tblGrid>
            <w:tr w:rsidR="00E46175" w:rsidRPr="00E46175" w:rsidTr="00935E32">
              <w:trPr>
                <w:trHeight w:val="561"/>
              </w:trPr>
              <w:tc>
                <w:tcPr>
                  <w:tcW w:w="1980" w:type="dxa"/>
                  <w:shd w:val="clear" w:color="auto" w:fill="C6D9F1"/>
                </w:tcPr>
                <w:p w:rsidR="0012753E" w:rsidRPr="00E46175" w:rsidRDefault="0012753E" w:rsidP="0012753E">
                  <w:pPr>
                    <w:jc w:val="center"/>
                    <w:rPr>
                      <w:b/>
                      <w:sz w:val="20"/>
                    </w:rPr>
                  </w:pPr>
                  <w:r w:rsidRPr="00E46175">
                    <w:rPr>
                      <w:b/>
                      <w:sz w:val="20"/>
                    </w:rPr>
                    <w:t>Name of pump</w:t>
                  </w:r>
                </w:p>
              </w:tc>
              <w:tc>
                <w:tcPr>
                  <w:tcW w:w="1134" w:type="dxa"/>
                  <w:shd w:val="clear" w:color="auto" w:fill="C6D9F1"/>
                </w:tcPr>
                <w:p w:rsidR="0012753E" w:rsidRPr="00E46175" w:rsidRDefault="0012753E" w:rsidP="0012753E">
                  <w:pPr>
                    <w:jc w:val="center"/>
                    <w:rPr>
                      <w:b/>
                      <w:sz w:val="20"/>
                    </w:rPr>
                  </w:pPr>
                  <w:r w:rsidRPr="00E46175">
                    <w:rPr>
                      <w:b/>
                      <w:sz w:val="20"/>
                    </w:rPr>
                    <w:t>CGM enabled?</w:t>
                  </w:r>
                </w:p>
              </w:tc>
              <w:tc>
                <w:tcPr>
                  <w:tcW w:w="1843" w:type="dxa"/>
                  <w:shd w:val="clear" w:color="auto" w:fill="C6D9F1"/>
                </w:tcPr>
                <w:p w:rsidR="0012753E" w:rsidRPr="00E46175" w:rsidRDefault="0012753E" w:rsidP="0012753E">
                  <w:pPr>
                    <w:jc w:val="center"/>
                    <w:rPr>
                      <w:b/>
                      <w:sz w:val="20"/>
                    </w:rPr>
                  </w:pPr>
                  <w:r w:rsidRPr="00E46175">
                    <w:rPr>
                      <w:b/>
                      <w:sz w:val="20"/>
                    </w:rPr>
                    <w:t>Cost of pump</w:t>
                  </w:r>
                </w:p>
              </w:tc>
              <w:tc>
                <w:tcPr>
                  <w:tcW w:w="1417" w:type="dxa"/>
                  <w:shd w:val="clear" w:color="auto" w:fill="C6D9F1"/>
                </w:tcPr>
                <w:p w:rsidR="0012753E" w:rsidRPr="00E46175" w:rsidRDefault="0012753E" w:rsidP="0012753E">
                  <w:pPr>
                    <w:jc w:val="center"/>
                    <w:rPr>
                      <w:b/>
                      <w:sz w:val="20"/>
                    </w:rPr>
                  </w:pPr>
                  <w:r w:rsidRPr="00E46175">
                    <w:rPr>
                      <w:b/>
                      <w:sz w:val="20"/>
                    </w:rPr>
                    <w:t xml:space="preserve">Annual consumables </w:t>
                  </w:r>
                </w:p>
              </w:tc>
              <w:tc>
                <w:tcPr>
                  <w:tcW w:w="1418" w:type="dxa"/>
                  <w:shd w:val="clear" w:color="auto" w:fill="C6D9F1"/>
                </w:tcPr>
                <w:p w:rsidR="0012753E" w:rsidRPr="00E46175" w:rsidRDefault="0012753E" w:rsidP="0012753E">
                  <w:pPr>
                    <w:jc w:val="center"/>
                    <w:rPr>
                      <w:b/>
                      <w:sz w:val="20"/>
                    </w:rPr>
                  </w:pPr>
                  <w:r w:rsidRPr="00E46175">
                    <w:rPr>
                      <w:b/>
                      <w:sz w:val="20"/>
                    </w:rPr>
                    <w:t xml:space="preserve">4 year cost </w:t>
                  </w:r>
                </w:p>
              </w:tc>
            </w:tr>
            <w:tr w:rsidR="00E46175" w:rsidRPr="00E46175" w:rsidTr="00935E32">
              <w:trPr>
                <w:trHeight w:val="500"/>
              </w:trPr>
              <w:tc>
                <w:tcPr>
                  <w:tcW w:w="1980" w:type="dxa"/>
                  <w:shd w:val="clear" w:color="auto" w:fill="auto"/>
                </w:tcPr>
                <w:p w:rsidR="0012753E" w:rsidRPr="00E46175" w:rsidRDefault="0012753E" w:rsidP="008911D2">
                  <w:pPr>
                    <w:rPr>
                      <w:rFonts w:ascii="Arial" w:hAnsi="Arial" w:cs="Arial"/>
                      <w:sz w:val="20"/>
                    </w:rPr>
                  </w:pPr>
                  <w:r w:rsidRPr="00E46175">
                    <w:rPr>
                      <w:rFonts w:ascii="Arial" w:hAnsi="Arial" w:cs="Arial"/>
                      <w:sz w:val="20"/>
                    </w:rPr>
                    <w:t>1. Roche Accu</w:t>
                  </w:r>
                  <w:r w:rsidR="008911D2" w:rsidRPr="00E46175">
                    <w:rPr>
                      <w:rFonts w:ascii="Arial" w:hAnsi="Arial" w:cs="Arial"/>
                      <w:sz w:val="20"/>
                    </w:rPr>
                    <w:t>-C</w:t>
                  </w:r>
                  <w:r w:rsidRPr="00E46175">
                    <w:rPr>
                      <w:rFonts w:ascii="Arial" w:hAnsi="Arial" w:cs="Arial"/>
                      <w:sz w:val="20"/>
                    </w:rPr>
                    <w:t>hek insight</w:t>
                  </w:r>
                </w:p>
              </w:tc>
              <w:tc>
                <w:tcPr>
                  <w:tcW w:w="1134" w:type="dxa"/>
                </w:tcPr>
                <w:p w:rsidR="0012753E" w:rsidRPr="00E46175" w:rsidRDefault="0012753E" w:rsidP="0012753E">
                  <w:pPr>
                    <w:rPr>
                      <w:rFonts w:ascii="Arial" w:hAnsi="Arial" w:cs="Arial"/>
                      <w:sz w:val="20"/>
                    </w:rPr>
                  </w:pPr>
                  <w:r w:rsidRPr="00E46175">
                    <w:rPr>
                      <w:rFonts w:ascii="Arial" w:hAnsi="Arial" w:cs="Arial"/>
                      <w:sz w:val="20"/>
                    </w:rPr>
                    <w:t>No</w:t>
                  </w:r>
                </w:p>
              </w:tc>
              <w:tc>
                <w:tcPr>
                  <w:tcW w:w="1843" w:type="dxa"/>
                  <w:shd w:val="clear" w:color="auto" w:fill="auto"/>
                </w:tcPr>
                <w:p w:rsidR="0012753E" w:rsidRPr="00E46175" w:rsidRDefault="0012753E" w:rsidP="00201C3F">
                  <w:pPr>
                    <w:rPr>
                      <w:rFonts w:ascii="Arial" w:hAnsi="Arial" w:cs="Arial"/>
                      <w:sz w:val="20"/>
                    </w:rPr>
                  </w:pPr>
                  <w:r w:rsidRPr="00E46175">
                    <w:rPr>
                      <w:rFonts w:ascii="Arial" w:hAnsi="Arial" w:cs="Arial"/>
                      <w:sz w:val="20"/>
                    </w:rPr>
                    <w:t>£2</w:t>
                  </w:r>
                  <w:r w:rsidR="00201C3F" w:rsidRPr="00E46175">
                    <w:rPr>
                      <w:rFonts w:ascii="Arial" w:hAnsi="Arial" w:cs="Arial"/>
                      <w:sz w:val="20"/>
                    </w:rPr>
                    <w:t>,</w:t>
                  </w:r>
                  <w:r w:rsidRPr="00E46175">
                    <w:rPr>
                      <w:rFonts w:ascii="Arial" w:hAnsi="Arial" w:cs="Arial"/>
                      <w:sz w:val="20"/>
                    </w:rPr>
                    <w:t>49</w:t>
                  </w:r>
                  <w:r w:rsidR="00201C3F" w:rsidRPr="00E46175">
                    <w:rPr>
                      <w:rFonts w:ascii="Arial" w:hAnsi="Arial" w:cs="Arial"/>
                      <w:sz w:val="20"/>
                    </w:rPr>
                    <w:t>5</w:t>
                  </w:r>
                </w:p>
              </w:tc>
              <w:tc>
                <w:tcPr>
                  <w:tcW w:w="1417" w:type="dxa"/>
                  <w:shd w:val="clear" w:color="auto" w:fill="auto"/>
                </w:tcPr>
                <w:p w:rsidR="0012753E" w:rsidRPr="00E46175" w:rsidRDefault="0012753E" w:rsidP="00201C3F">
                  <w:pPr>
                    <w:rPr>
                      <w:rFonts w:ascii="Arial" w:hAnsi="Arial" w:cs="Arial"/>
                      <w:sz w:val="20"/>
                    </w:rPr>
                  </w:pPr>
                  <w:r w:rsidRPr="00E46175">
                    <w:rPr>
                      <w:rFonts w:ascii="Arial" w:hAnsi="Arial" w:cs="Arial"/>
                      <w:sz w:val="20"/>
                    </w:rPr>
                    <w:t>£1</w:t>
                  </w:r>
                  <w:r w:rsidR="008911D2" w:rsidRPr="00E46175">
                    <w:rPr>
                      <w:rFonts w:ascii="Arial" w:hAnsi="Arial" w:cs="Arial"/>
                      <w:sz w:val="20"/>
                    </w:rPr>
                    <w:t>,</w:t>
                  </w:r>
                  <w:r w:rsidR="00201C3F" w:rsidRPr="00E46175">
                    <w:rPr>
                      <w:rFonts w:ascii="Arial" w:hAnsi="Arial" w:cs="Arial"/>
                      <w:sz w:val="20"/>
                    </w:rPr>
                    <w:t>514.64</w:t>
                  </w:r>
                </w:p>
              </w:tc>
              <w:tc>
                <w:tcPr>
                  <w:tcW w:w="1418" w:type="dxa"/>
                  <w:shd w:val="clear" w:color="auto" w:fill="auto"/>
                </w:tcPr>
                <w:p w:rsidR="0012753E" w:rsidRPr="00E46175" w:rsidRDefault="0012753E" w:rsidP="00201C3F">
                  <w:pPr>
                    <w:rPr>
                      <w:rFonts w:ascii="Arial" w:hAnsi="Arial" w:cs="Arial"/>
                      <w:sz w:val="20"/>
                    </w:rPr>
                  </w:pPr>
                  <w:r w:rsidRPr="00E46175">
                    <w:rPr>
                      <w:rFonts w:ascii="Arial" w:hAnsi="Arial" w:cs="Arial"/>
                      <w:sz w:val="20"/>
                    </w:rPr>
                    <w:t>£</w:t>
                  </w:r>
                  <w:r w:rsidR="00201C3F" w:rsidRPr="00E46175">
                    <w:rPr>
                      <w:rFonts w:ascii="Arial" w:hAnsi="Arial" w:cs="Arial"/>
                      <w:sz w:val="20"/>
                    </w:rPr>
                    <w:t>8,553</w:t>
                  </w:r>
                  <w:r w:rsidR="000D6350" w:rsidRPr="00E46175">
                    <w:rPr>
                      <w:rFonts w:ascii="Arial" w:hAnsi="Arial" w:cs="Arial"/>
                      <w:sz w:val="20"/>
                    </w:rPr>
                    <w:t>.56</w:t>
                  </w:r>
                </w:p>
              </w:tc>
            </w:tr>
            <w:tr w:rsidR="00E46175" w:rsidRPr="00E46175" w:rsidTr="00935E32">
              <w:trPr>
                <w:trHeight w:val="611"/>
              </w:trPr>
              <w:tc>
                <w:tcPr>
                  <w:tcW w:w="1980" w:type="dxa"/>
                  <w:shd w:val="clear" w:color="auto" w:fill="auto"/>
                </w:tcPr>
                <w:p w:rsidR="008911D2" w:rsidRPr="00E46175" w:rsidRDefault="008911D2" w:rsidP="008911D2">
                  <w:pPr>
                    <w:rPr>
                      <w:rFonts w:ascii="Arial" w:hAnsi="Arial" w:cs="Arial"/>
                      <w:sz w:val="20"/>
                    </w:rPr>
                  </w:pPr>
                  <w:r w:rsidRPr="00E46175">
                    <w:rPr>
                      <w:rFonts w:ascii="Arial" w:hAnsi="Arial" w:cs="Arial"/>
                      <w:sz w:val="20"/>
                    </w:rPr>
                    <w:t>2. Roche Accu-Chek Combo</w:t>
                  </w:r>
                </w:p>
              </w:tc>
              <w:tc>
                <w:tcPr>
                  <w:tcW w:w="1134" w:type="dxa"/>
                </w:tcPr>
                <w:p w:rsidR="008911D2" w:rsidRPr="00E46175" w:rsidRDefault="008911D2" w:rsidP="0012753E">
                  <w:pPr>
                    <w:rPr>
                      <w:rFonts w:ascii="Arial" w:hAnsi="Arial" w:cs="Arial"/>
                      <w:sz w:val="20"/>
                    </w:rPr>
                  </w:pPr>
                  <w:r w:rsidRPr="00E46175">
                    <w:rPr>
                      <w:rFonts w:ascii="Arial" w:hAnsi="Arial" w:cs="Arial"/>
                      <w:sz w:val="20"/>
                    </w:rPr>
                    <w:t>No</w:t>
                  </w:r>
                </w:p>
              </w:tc>
              <w:tc>
                <w:tcPr>
                  <w:tcW w:w="1843" w:type="dxa"/>
                  <w:shd w:val="clear" w:color="auto" w:fill="auto"/>
                </w:tcPr>
                <w:p w:rsidR="008911D2" w:rsidRPr="00E46175" w:rsidRDefault="008911D2" w:rsidP="0012753E">
                  <w:pPr>
                    <w:rPr>
                      <w:rFonts w:ascii="Arial" w:hAnsi="Arial" w:cs="Arial"/>
                      <w:sz w:val="20"/>
                    </w:rPr>
                  </w:pPr>
                  <w:r w:rsidRPr="00E46175">
                    <w:rPr>
                      <w:rFonts w:ascii="Arial" w:hAnsi="Arial" w:cs="Arial"/>
                      <w:sz w:val="20"/>
                    </w:rPr>
                    <w:t>£2,495</w:t>
                  </w:r>
                  <w:r w:rsidRPr="00E46175">
                    <w:rPr>
                      <w:rFonts w:ascii="Arial" w:hAnsi="Arial" w:cs="Arial"/>
                      <w:sz w:val="20"/>
                    </w:rPr>
                    <w:tab/>
                  </w:r>
                </w:p>
              </w:tc>
              <w:tc>
                <w:tcPr>
                  <w:tcW w:w="1417" w:type="dxa"/>
                  <w:shd w:val="clear" w:color="auto" w:fill="auto"/>
                </w:tcPr>
                <w:p w:rsidR="008911D2" w:rsidRPr="00E46175" w:rsidRDefault="008911D2" w:rsidP="00201C3F">
                  <w:pPr>
                    <w:rPr>
                      <w:rFonts w:ascii="Arial" w:hAnsi="Arial" w:cs="Arial"/>
                      <w:sz w:val="20"/>
                    </w:rPr>
                  </w:pPr>
                  <w:r w:rsidRPr="00E46175">
                    <w:rPr>
                      <w:rFonts w:ascii="Arial" w:hAnsi="Arial" w:cs="Arial"/>
                      <w:sz w:val="20"/>
                    </w:rPr>
                    <w:t>£1,300.32</w:t>
                  </w:r>
                </w:p>
              </w:tc>
              <w:tc>
                <w:tcPr>
                  <w:tcW w:w="1418" w:type="dxa"/>
                  <w:shd w:val="clear" w:color="auto" w:fill="auto"/>
                </w:tcPr>
                <w:p w:rsidR="004F578D" w:rsidRPr="00E46175" w:rsidRDefault="004F578D" w:rsidP="00201C3F">
                  <w:pPr>
                    <w:rPr>
                      <w:rFonts w:ascii="Arial" w:hAnsi="Arial" w:cs="Arial"/>
                      <w:sz w:val="20"/>
                    </w:rPr>
                  </w:pPr>
                  <w:r>
                    <w:rPr>
                      <w:rFonts w:ascii="Arial" w:hAnsi="Arial" w:cs="Arial"/>
                      <w:sz w:val="20"/>
                    </w:rPr>
                    <w:t>£7</w:t>
                  </w:r>
                  <w:r w:rsidR="003F65BA">
                    <w:rPr>
                      <w:rFonts w:ascii="Arial" w:hAnsi="Arial" w:cs="Arial"/>
                      <w:sz w:val="20"/>
                    </w:rPr>
                    <w:t>,</w:t>
                  </w:r>
                  <w:r>
                    <w:rPr>
                      <w:rFonts w:ascii="Arial" w:hAnsi="Arial" w:cs="Arial"/>
                      <w:sz w:val="20"/>
                    </w:rPr>
                    <w:t>696.28</w:t>
                  </w:r>
                </w:p>
              </w:tc>
            </w:tr>
            <w:tr w:rsidR="00E46175" w:rsidRPr="00E46175" w:rsidTr="00935E32">
              <w:trPr>
                <w:trHeight w:val="611"/>
              </w:trPr>
              <w:tc>
                <w:tcPr>
                  <w:tcW w:w="1980" w:type="dxa"/>
                  <w:shd w:val="clear" w:color="auto" w:fill="auto"/>
                </w:tcPr>
                <w:p w:rsidR="0012753E" w:rsidRPr="00E46175" w:rsidRDefault="008911D2" w:rsidP="0012753E">
                  <w:pPr>
                    <w:rPr>
                      <w:rFonts w:ascii="Arial" w:hAnsi="Arial" w:cs="Arial"/>
                      <w:sz w:val="20"/>
                    </w:rPr>
                  </w:pPr>
                  <w:r w:rsidRPr="00E46175">
                    <w:rPr>
                      <w:rFonts w:ascii="Arial" w:hAnsi="Arial" w:cs="Arial"/>
                      <w:sz w:val="20"/>
                    </w:rPr>
                    <w:t>3</w:t>
                  </w:r>
                  <w:r w:rsidR="0012753E" w:rsidRPr="00E46175">
                    <w:rPr>
                      <w:rFonts w:ascii="Arial" w:hAnsi="Arial" w:cs="Arial"/>
                      <w:sz w:val="20"/>
                    </w:rPr>
                    <w:t>. Medtronic 640G</w:t>
                  </w:r>
                </w:p>
              </w:tc>
              <w:tc>
                <w:tcPr>
                  <w:tcW w:w="1134" w:type="dxa"/>
                </w:tcPr>
                <w:p w:rsidR="0012753E" w:rsidRPr="00E46175" w:rsidRDefault="0012753E" w:rsidP="0012753E">
                  <w:pPr>
                    <w:rPr>
                      <w:rFonts w:ascii="Arial" w:hAnsi="Arial" w:cs="Arial"/>
                      <w:sz w:val="20"/>
                    </w:rPr>
                  </w:pPr>
                  <w:r w:rsidRPr="00E46175">
                    <w:rPr>
                      <w:rFonts w:ascii="Arial" w:hAnsi="Arial" w:cs="Arial"/>
                      <w:sz w:val="20"/>
                    </w:rPr>
                    <w:t>Yes</w:t>
                  </w:r>
                </w:p>
              </w:tc>
              <w:tc>
                <w:tcPr>
                  <w:tcW w:w="1843" w:type="dxa"/>
                  <w:shd w:val="clear" w:color="auto" w:fill="auto"/>
                </w:tcPr>
                <w:p w:rsidR="0012753E" w:rsidRPr="00E46175" w:rsidRDefault="0012753E" w:rsidP="0012753E">
                  <w:pPr>
                    <w:rPr>
                      <w:rFonts w:ascii="Arial" w:hAnsi="Arial" w:cs="Arial"/>
                      <w:sz w:val="20"/>
                    </w:rPr>
                  </w:pPr>
                  <w:r w:rsidRPr="00E46175">
                    <w:rPr>
                      <w:rFonts w:ascii="Arial" w:hAnsi="Arial" w:cs="Arial"/>
                      <w:sz w:val="20"/>
                    </w:rPr>
                    <w:t>£2</w:t>
                  </w:r>
                  <w:r w:rsidR="000D6350" w:rsidRPr="00E46175">
                    <w:rPr>
                      <w:rFonts w:ascii="Arial" w:hAnsi="Arial" w:cs="Arial"/>
                      <w:sz w:val="20"/>
                    </w:rPr>
                    <w:t>,</w:t>
                  </w:r>
                  <w:r w:rsidRPr="00E46175">
                    <w:rPr>
                      <w:rFonts w:ascii="Arial" w:hAnsi="Arial" w:cs="Arial"/>
                      <w:sz w:val="20"/>
                    </w:rPr>
                    <w:t>995</w:t>
                  </w:r>
                </w:p>
              </w:tc>
              <w:tc>
                <w:tcPr>
                  <w:tcW w:w="1417" w:type="dxa"/>
                  <w:shd w:val="clear" w:color="auto" w:fill="auto"/>
                </w:tcPr>
                <w:p w:rsidR="003A10DE" w:rsidRPr="00E46175" w:rsidRDefault="003A10DE" w:rsidP="00201C3F">
                  <w:pPr>
                    <w:rPr>
                      <w:rFonts w:ascii="Arial" w:hAnsi="Arial" w:cs="Arial"/>
                      <w:sz w:val="20"/>
                    </w:rPr>
                  </w:pPr>
                  <w:r>
                    <w:rPr>
                      <w:rFonts w:ascii="Arial" w:hAnsi="Arial" w:cs="Arial"/>
                      <w:sz w:val="20"/>
                    </w:rPr>
                    <w:t>£1,683</w:t>
                  </w:r>
                </w:p>
              </w:tc>
              <w:tc>
                <w:tcPr>
                  <w:tcW w:w="1418" w:type="dxa"/>
                  <w:shd w:val="clear" w:color="auto" w:fill="auto"/>
                </w:tcPr>
                <w:p w:rsidR="003A10DE" w:rsidRPr="003A10DE" w:rsidRDefault="003A10DE" w:rsidP="00201C3F">
                  <w:pPr>
                    <w:rPr>
                      <w:rFonts w:ascii="Arial" w:hAnsi="Arial" w:cs="Arial"/>
                      <w:sz w:val="20"/>
                    </w:rPr>
                  </w:pPr>
                  <w:r>
                    <w:rPr>
                      <w:rFonts w:ascii="Arial" w:hAnsi="Arial" w:cs="Arial"/>
                      <w:sz w:val="20"/>
                    </w:rPr>
                    <w:t>£9,727</w:t>
                  </w:r>
                </w:p>
              </w:tc>
            </w:tr>
            <w:tr w:rsidR="00E46175" w:rsidRPr="00E46175" w:rsidTr="00935E32">
              <w:trPr>
                <w:trHeight w:val="437"/>
              </w:trPr>
              <w:tc>
                <w:tcPr>
                  <w:tcW w:w="1980" w:type="dxa"/>
                  <w:shd w:val="clear" w:color="auto" w:fill="auto"/>
                </w:tcPr>
                <w:p w:rsidR="0012753E" w:rsidRPr="00E46175" w:rsidRDefault="008911D2" w:rsidP="008911D2">
                  <w:pPr>
                    <w:rPr>
                      <w:rFonts w:ascii="Arial" w:hAnsi="Arial" w:cs="Arial"/>
                      <w:sz w:val="20"/>
                    </w:rPr>
                  </w:pPr>
                  <w:r w:rsidRPr="00E46175">
                    <w:rPr>
                      <w:rFonts w:ascii="Arial" w:hAnsi="Arial" w:cs="Arial"/>
                      <w:sz w:val="20"/>
                    </w:rPr>
                    <w:t>4</w:t>
                  </w:r>
                  <w:r w:rsidR="0012753E" w:rsidRPr="00E46175">
                    <w:rPr>
                      <w:rFonts w:ascii="Arial" w:hAnsi="Arial" w:cs="Arial"/>
                      <w:sz w:val="20"/>
                    </w:rPr>
                    <w:t>.</w:t>
                  </w:r>
                  <w:r w:rsidR="00935E32" w:rsidRPr="00E46175">
                    <w:rPr>
                      <w:rFonts w:ascii="Arial" w:hAnsi="Arial" w:cs="Arial"/>
                      <w:sz w:val="20"/>
                    </w:rPr>
                    <w:t xml:space="preserve"> </w:t>
                  </w:r>
                  <w:proofErr w:type="spellStart"/>
                  <w:r w:rsidR="0012753E" w:rsidRPr="00E46175">
                    <w:rPr>
                      <w:rFonts w:ascii="Arial" w:hAnsi="Arial" w:cs="Arial"/>
                      <w:sz w:val="20"/>
                    </w:rPr>
                    <w:t>Cellnovo</w:t>
                  </w:r>
                  <w:proofErr w:type="spellEnd"/>
                </w:p>
              </w:tc>
              <w:tc>
                <w:tcPr>
                  <w:tcW w:w="1134" w:type="dxa"/>
                </w:tcPr>
                <w:p w:rsidR="0012753E" w:rsidRPr="00E46175" w:rsidRDefault="0012753E" w:rsidP="0012753E">
                  <w:pPr>
                    <w:rPr>
                      <w:rFonts w:ascii="Arial" w:hAnsi="Arial" w:cs="Arial"/>
                      <w:sz w:val="20"/>
                    </w:rPr>
                  </w:pPr>
                  <w:r w:rsidRPr="00E46175">
                    <w:rPr>
                      <w:rFonts w:ascii="Arial" w:hAnsi="Arial" w:cs="Arial"/>
                      <w:sz w:val="20"/>
                    </w:rPr>
                    <w:t>No</w:t>
                  </w:r>
                </w:p>
              </w:tc>
              <w:tc>
                <w:tcPr>
                  <w:tcW w:w="1843" w:type="dxa"/>
                  <w:shd w:val="clear" w:color="auto" w:fill="auto"/>
                </w:tcPr>
                <w:p w:rsidR="0012753E" w:rsidRPr="00E46175" w:rsidRDefault="0012753E" w:rsidP="00201C3F">
                  <w:pPr>
                    <w:rPr>
                      <w:rFonts w:ascii="Arial" w:hAnsi="Arial" w:cs="Arial"/>
                      <w:sz w:val="20"/>
                    </w:rPr>
                  </w:pPr>
                  <w:r w:rsidRPr="00E46175">
                    <w:rPr>
                      <w:rFonts w:ascii="Arial" w:hAnsi="Arial" w:cs="Arial"/>
                      <w:sz w:val="20"/>
                    </w:rPr>
                    <w:t>Starter kit £</w:t>
                  </w:r>
                  <w:r w:rsidR="00201C3F" w:rsidRPr="00E46175">
                    <w:rPr>
                      <w:rFonts w:ascii="Arial" w:hAnsi="Arial" w:cs="Arial"/>
                      <w:sz w:val="20"/>
                    </w:rPr>
                    <w:t>1,100</w:t>
                  </w:r>
                </w:p>
              </w:tc>
              <w:tc>
                <w:tcPr>
                  <w:tcW w:w="1417" w:type="dxa"/>
                  <w:shd w:val="clear" w:color="auto" w:fill="auto"/>
                </w:tcPr>
                <w:p w:rsidR="0012753E" w:rsidRPr="00E46175" w:rsidRDefault="0012753E" w:rsidP="0012753E">
                  <w:pPr>
                    <w:rPr>
                      <w:rFonts w:ascii="Arial" w:hAnsi="Arial" w:cs="Arial"/>
                      <w:sz w:val="20"/>
                    </w:rPr>
                  </w:pPr>
                  <w:r w:rsidRPr="00E46175">
                    <w:rPr>
                      <w:rFonts w:ascii="Arial" w:hAnsi="Arial" w:cs="Arial"/>
                      <w:sz w:val="20"/>
                    </w:rPr>
                    <w:t>£2</w:t>
                  </w:r>
                  <w:r w:rsidR="00201C3F" w:rsidRPr="00E46175">
                    <w:rPr>
                      <w:rFonts w:ascii="Arial" w:hAnsi="Arial" w:cs="Arial"/>
                      <w:sz w:val="20"/>
                    </w:rPr>
                    <w:t>,</w:t>
                  </w:r>
                  <w:r w:rsidRPr="00E46175">
                    <w:rPr>
                      <w:rFonts w:ascii="Arial" w:hAnsi="Arial" w:cs="Arial"/>
                      <w:sz w:val="20"/>
                    </w:rPr>
                    <w:t>040</w:t>
                  </w:r>
                </w:p>
              </w:tc>
              <w:tc>
                <w:tcPr>
                  <w:tcW w:w="1418" w:type="dxa"/>
                  <w:shd w:val="clear" w:color="auto" w:fill="auto"/>
                </w:tcPr>
                <w:p w:rsidR="004F578D" w:rsidRPr="00E46175" w:rsidRDefault="004F578D" w:rsidP="00201C3F">
                  <w:pPr>
                    <w:rPr>
                      <w:rFonts w:ascii="Arial" w:hAnsi="Arial" w:cs="Arial"/>
                      <w:sz w:val="20"/>
                    </w:rPr>
                  </w:pPr>
                  <w:r>
                    <w:rPr>
                      <w:rFonts w:ascii="Arial" w:hAnsi="Arial" w:cs="Arial"/>
                      <w:sz w:val="20"/>
                    </w:rPr>
                    <w:t>£9,260</w:t>
                  </w:r>
                </w:p>
              </w:tc>
            </w:tr>
            <w:tr w:rsidR="00E46175" w:rsidRPr="00E46175" w:rsidTr="00935E32">
              <w:trPr>
                <w:trHeight w:val="403"/>
              </w:trPr>
              <w:tc>
                <w:tcPr>
                  <w:tcW w:w="1980" w:type="dxa"/>
                  <w:shd w:val="clear" w:color="auto" w:fill="auto"/>
                </w:tcPr>
                <w:p w:rsidR="0012753E" w:rsidRPr="00E46175" w:rsidRDefault="008911D2" w:rsidP="008911D2">
                  <w:pPr>
                    <w:rPr>
                      <w:rFonts w:ascii="Arial" w:hAnsi="Arial" w:cs="Arial"/>
                      <w:sz w:val="20"/>
                    </w:rPr>
                  </w:pPr>
                  <w:r w:rsidRPr="00E46175">
                    <w:rPr>
                      <w:rFonts w:ascii="Arial" w:hAnsi="Arial" w:cs="Arial"/>
                      <w:sz w:val="20"/>
                    </w:rPr>
                    <w:t>5</w:t>
                  </w:r>
                  <w:r w:rsidR="0012753E" w:rsidRPr="00E46175">
                    <w:rPr>
                      <w:rFonts w:ascii="Arial" w:hAnsi="Arial" w:cs="Arial"/>
                      <w:sz w:val="20"/>
                    </w:rPr>
                    <w:t>. Omnipod</w:t>
                  </w:r>
                </w:p>
              </w:tc>
              <w:tc>
                <w:tcPr>
                  <w:tcW w:w="1134" w:type="dxa"/>
                </w:tcPr>
                <w:p w:rsidR="0012753E" w:rsidRPr="00E46175" w:rsidRDefault="0012753E" w:rsidP="0012753E">
                  <w:pPr>
                    <w:rPr>
                      <w:rFonts w:ascii="Arial" w:hAnsi="Arial" w:cs="Arial"/>
                      <w:sz w:val="20"/>
                    </w:rPr>
                  </w:pPr>
                  <w:r w:rsidRPr="00E46175">
                    <w:rPr>
                      <w:rFonts w:ascii="Arial" w:hAnsi="Arial" w:cs="Arial"/>
                      <w:sz w:val="20"/>
                    </w:rPr>
                    <w:t>No</w:t>
                  </w:r>
                </w:p>
              </w:tc>
              <w:tc>
                <w:tcPr>
                  <w:tcW w:w="1843" w:type="dxa"/>
                  <w:shd w:val="clear" w:color="auto" w:fill="auto"/>
                </w:tcPr>
                <w:p w:rsidR="0012753E" w:rsidRPr="00E46175" w:rsidRDefault="0012753E" w:rsidP="00201C3F">
                  <w:pPr>
                    <w:rPr>
                      <w:rFonts w:ascii="Arial" w:hAnsi="Arial" w:cs="Arial"/>
                      <w:sz w:val="20"/>
                    </w:rPr>
                  </w:pPr>
                  <w:r w:rsidRPr="00E46175">
                    <w:rPr>
                      <w:rFonts w:ascii="Arial" w:hAnsi="Arial" w:cs="Arial"/>
                      <w:sz w:val="20"/>
                    </w:rPr>
                    <w:t>1</w:t>
                  </w:r>
                  <w:r w:rsidRPr="00E46175">
                    <w:rPr>
                      <w:rFonts w:ascii="Arial" w:hAnsi="Arial" w:cs="Arial"/>
                      <w:sz w:val="20"/>
                      <w:vertAlign w:val="superscript"/>
                    </w:rPr>
                    <w:t>st</w:t>
                  </w:r>
                  <w:r w:rsidRPr="00E46175">
                    <w:rPr>
                      <w:rFonts w:ascii="Arial" w:hAnsi="Arial" w:cs="Arial"/>
                      <w:sz w:val="20"/>
                    </w:rPr>
                    <w:t xml:space="preserve"> year £2</w:t>
                  </w:r>
                  <w:r w:rsidR="00201C3F" w:rsidRPr="00E46175">
                    <w:rPr>
                      <w:rFonts w:ascii="Arial" w:hAnsi="Arial" w:cs="Arial"/>
                      <w:sz w:val="20"/>
                    </w:rPr>
                    <w:t>,558.20</w:t>
                  </w:r>
                </w:p>
              </w:tc>
              <w:tc>
                <w:tcPr>
                  <w:tcW w:w="1417" w:type="dxa"/>
                  <w:shd w:val="clear" w:color="auto" w:fill="auto"/>
                </w:tcPr>
                <w:p w:rsidR="0012753E" w:rsidRPr="00E46175" w:rsidRDefault="0012753E" w:rsidP="00201C3F">
                  <w:pPr>
                    <w:rPr>
                      <w:rFonts w:ascii="Arial" w:hAnsi="Arial" w:cs="Arial"/>
                      <w:sz w:val="20"/>
                    </w:rPr>
                  </w:pPr>
                  <w:r w:rsidRPr="00E46175">
                    <w:rPr>
                      <w:rFonts w:ascii="Arial" w:hAnsi="Arial" w:cs="Arial"/>
                      <w:sz w:val="20"/>
                    </w:rPr>
                    <w:t>£2</w:t>
                  </w:r>
                  <w:r w:rsidR="00201C3F" w:rsidRPr="00E46175">
                    <w:rPr>
                      <w:rFonts w:ascii="Arial" w:hAnsi="Arial" w:cs="Arial"/>
                      <w:sz w:val="20"/>
                    </w:rPr>
                    <w:t>,373.20</w:t>
                  </w:r>
                </w:p>
              </w:tc>
              <w:tc>
                <w:tcPr>
                  <w:tcW w:w="1418" w:type="dxa"/>
                  <w:shd w:val="clear" w:color="auto" w:fill="auto"/>
                </w:tcPr>
                <w:p w:rsidR="0012753E" w:rsidRPr="00E46175" w:rsidRDefault="0012753E" w:rsidP="00201C3F">
                  <w:pPr>
                    <w:rPr>
                      <w:rFonts w:ascii="Arial" w:hAnsi="Arial" w:cs="Arial"/>
                      <w:sz w:val="20"/>
                    </w:rPr>
                  </w:pPr>
                  <w:r w:rsidRPr="00E46175">
                    <w:rPr>
                      <w:rFonts w:ascii="Arial" w:hAnsi="Arial" w:cs="Arial"/>
                      <w:sz w:val="20"/>
                    </w:rPr>
                    <w:t>£9</w:t>
                  </w:r>
                  <w:r w:rsidR="00201C3F" w:rsidRPr="00E46175">
                    <w:rPr>
                      <w:rFonts w:ascii="Arial" w:hAnsi="Arial" w:cs="Arial"/>
                      <w:sz w:val="20"/>
                    </w:rPr>
                    <w:t>,677.80</w:t>
                  </w:r>
                </w:p>
              </w:tc>
            </w:tr>
            <w:tr w:rsidR="00E46175" w:rsidRPr="00E46175" w:rsidTr="00935E32">
              <w:trPr>
                <w:trHeight w:val="369"/>
              </w:trPr>
              <w:tc>
                <w:tcPr>
                  <w:tcW w:w="1980" w:type="dxa"/>
                  <w:shd w:val="clear" w:color="auto" w:fill="auto"/>
                </w:tcPr>
                <w:p w:rsidR="008911D2" w:rsidRPr="00E46175" w:rsidRDefault="008911D2" w:rsidP="00935E32">
                  <w:pPr>
                    <w:rPr>
                      <w:rFonts w:ascii="Arial" w:hAnsi="Arial" w:cs="Arial"/>
                      <w:sz w:val="20"/>
                    </w:rPr>
                  </w:pPr>
                  <w:r w:rsidRPr="00E46175">
                    <w:rPr>
                      <w:rFonts w:ascii="Arial" w:hAnsi="Arial" w:cs="Arial"/>
                      <w:sz w:val="20"/>
                    </w:rPr>
                    <w:t>6. DANA RS</w:t>
                  </w:r>
                  <w:r w:rsidR="00B73271">
                    <w:rPr>
                      <w:rFonts w:ascii="Arial" w:hAnsi="Arial" w:cs="Arial"/>
                      <w:sz w:val="20"/>
                    </w:rPr>
                    <w:t>*</w:t>
                  </w:r>
                </w:p>
              </w:tc>
              <w:tc>
                <w:tcPr>
                  <w:tcW w:w="1134" w:type="dxa"/>
                </w:tcPr>
                <w:p w:rsidR="008911D2" w:rsidRPr="00E46175" w:rsidRDefault="008911D2" w:rsidP="0012753E">
                  <w:pPr>
                    <w:rPr>
                      <w:rFonts w:ascii="Arial" w:hAnsi="Arial" w:cs="Arial"/>
                      <w:sz w:val="20"/>
                    </w:rPr>
                  </w:pPr>
                  <w:r w:rsidRPr="00E46175">
                    <w:rPr>
                      <w:rFonts w:ascii="Arial" w:hAnsi="Arial" w:cs="Arial"/>
                      <w:sz w:val="20"/>
                    </w:rPr>
                    <w:t>No</w:t>
                  </w:r>
                </w:p>
              </w:tc>
              <w:tc>
                <w:tcPr>
                  <w:tcW w:w="1843" w:type="dxa"/>
                  <w:shd w:val="clear" w:color="auto" w:fill="auto"/>
                </w:tcPr>
                <w:p w:rsidR="008911D2" w:rsidRPr="00E46175" w:rsidRDefault="00DD5B53" w:rsidP="0012753E">
                  <w:pPr>
                    <w:rPr>
                      <w:rFonts w:ascii="Arial" w:hAnsi="Arial" w:cs="Arial"/>
                      <w:sz w:val="20"/>
                    </w:rPr>
                  </w:pPr>
                  <w:r>
                    <w:rPr>
                      <w:rFonts w:ascii="Arial" w:hAnsi="Arial" w:cs="Arial"/>
                      <w:sz w:val="20"/>
                    </w:rPr>
                    <w:t xml:space="preserve">Starter kit </w:t>
                  </w:r>
                  <w:r w:rsidR="008911D2" w:rsidRPr="00E46175">
                    <w:rPr>
                      <w:rFonts w:ascii="Arial" w:hAnsi="Arial" w:cs="Arial"/>
                      <w:sz w:val="20"/>
                    </w:rPr>
                    <w:t>£2,595</w:t>
                  </w:r>
                </w:p>
              </w:tc>
              <w:tc>
                <w:tcPr>
                  <w:tcW w:w="1417" w:type="dxa"/>
                  <w:shd w:val="clear" w:color="auto" w:fill="auto"/>
                </w:tcPr>
                <w:p w:rsidR="00DD5B53" w:rsidRDefault="00DD5B53" w:rsidP="008911D2">
                  <w:pPr>
                    <w:rPr>
                      <w:rFonts w:ascii="Arial" w:hAnsi="Arial" w:cs="Arial"/>
                      <w:sz w:val="20"/>
                    </w:rPr>
                  </w:pPr>
                  <w:r>
                    <w:rPr>
                      <w:rFonts w:ascii="Arial" w:hAnsi="Arial" w:cs="Arial"/>
                      <w:sz w:val="20"/>
                    </w:rPr>
                    <w:t>£1574.15 (year 1)</w:t>
                  </w:r>
                </w:p>
                <w:p w:rsidR="004F578D" w:rsidRPr="00E46175" w:rsidRDefault="004F578D" w:rsidP="00B73271">
                  <w:pPr>
                    <w:rPr>
                      <w:rFonts w:ascii="Arial" w:hAnsi="Arial" w:cs="Arial"/>
                      <w:sz w:val="20"/>
                    </w:rPr>
                  </w:pPr>
                  <w:r>
                    <w:rPr>
                      <w:rFonts w:ascii="Arial" w:hAnsi="Arial" w:cs="Arial"/>
                      <w:sz w:val="20"/>
                    </w:rPr>
                    <w:t>£1,605,63</w:t>
                  </w:r>
                  <w:r w:rsidR="00DD5B53">
                    <w:rPr>
                      <w:rFonts w:ascii="Arial" w:hAnsi="Arial" w:cs="Arial"/>
                      <w:sz w:val="20"/>
                    </w:rPr>
                    <w:t xml:space="preserve"> (years 2-4)</w:t>
                  </w:r>
                </w:p>
              </w:tc>
              <w:tc>
                <w:tcPr>
                  <w:tcW w:w="1418" w:type="dxa"/>
                  <w:shd w:val="clear" w:color="auto" w:fill="auto"/>
                </w:tcPr>
                <w:p w:rsidR="008911D2" w:rsidRPr="00E46175" w:rsidRDefault="008911D2" w:rsidP="00B73271">
                  <w:pPr>
                    <w:rPr>
                      <w:rFonts w:ascii="Arial" w:hAnsi="Arial" w:cs="Arial"/>
                      <w:sz w:val="20"/>
                    </w:rPr>
                  </w:pPr>
                  <w:r w:rsidRPr="00E46175">
                    <w:rPr>
                      <w:rFonts w:ascii="Arial" w:hAnsi="Arial" w:cs="Arial"/>
                      <w:sz w:val="20"/>
                    </w:rPr>
                    <w:t>£9,083.03</w:t>
                  </w:r>
                </w:p>
              </w:tc>
            </w:tr>
            <w:tr w:rsidR="00E46175" w:rsidRPr="00E46175" w:rsidTr="00935E32">
              <w:trPr>
                <w:trHeight w:val="369"/>
              </w:trPr>
              <w:tc>
                <w:tcPr>
                  <w:tcW w:w="1980" w:type="dxa"/>
                  <w:shd w:val="clear" w:color="auto" w:fill="auto"/>
                </w:tcPr>
                <w:p w:rsidR="00935E32" w:rsidRPr="00E46175" w:rsidRDefault="008911D2" w:rsidP="000C58A9">
                  <w:pPr>
                    <w:rPr>
                      <w:rFonts w:ascii="Arial" w:hAnsi="Arial" w:cs="Arial"/>
                      <w:sz w:val="20"/>
                    </w:rPr>
                  </w:pPr>
                  <w:r w:rsidRPr="00E46175">
                    <w:rPr>
                      <w:rFonts w:ascii="Arial" w:hAnsi="Arial" w:cs="Arial"/>
                      <w:sz w:val="20"/>
                    </w:rPr>
                    <w:t>7</w:t>
                  </w:r>
                  <w:r w:rsidR="00DA3AA3" w:rsidRPr="00E46175">
                    <w:rPr>
                      <w:rFonts w:ascii="Arial" w:hAnsi="Arial" w:cs="Arial"/>
                      <w:sz w:val="20"/>
                    </w:rPr>
                    <w:t xml:space="preserve">. </w:t>
                  </w:r>
                  <w:proofErr w:type="spellStart"/>
                  <w:r w:rsidR="00DA3AA3" w:rsidRPr="00E46175">
                    <w:rPr>
                      <w:rFonts w:ascii="Arial" w:hAnsi="Arial" w:cs="Arial"/>
                      <w:sz w:val="20"/>
                    </w:rPr>
                    <w:t>YpsoPump</w:t>
                  </w:r>
                  <w:proofErr w:type="spellEnd"/>
                </w:p>
              </w:tc>
              <w:tc>
                <w:tcPr>
                  <w:tcW w:w="1134" w:type="dxa"/>
                </w:tcPr>
                <w:p w:rsidR="00DA3AA3" w:rsidRPr="00E46175" w:rsidRDefault="00DA3AA3" w:rsidP="0012753E">
                  <w:pPr>
                    <w:rPr>
                      <w:rFonts w:ascii="Arial" w:hAnsi="Arial" w:cs="Arial"/>
                      <w:sz w:val="20"/>
                    </w:rPr>
                  </w:pPr>
                  <w:r w:rsidRPr="00E46175">
                    <w:rPr>
                      <w:rFonts w:ascii="Arial" w:hAnsi="Arial" w:cs="Arial"/>
                      <w:sz w:val="20"/>
                    </w:rPr>
                    <w:t>No</w:t>
                  </w:r>
                </w:p>
              </w:tc>
              <w:tc>
                <w:tcPr>
                  <w:tcW w:w="1843" w:type="dxa"/>
                  <w:shd w:val="clear" w:color="auto" w:fill="auto"/>
                </w:tcPr>
                <w:p w:rsidR="00DA3AA3" w:rsidRPr="00E46175" w:rsidRDefault="00DA3AA3" w:rsidP="0012753E">
                  <w:pPr>
                    <w:rPr>
                      <w:rFonts w:ascii="Arial" w:hAnsi="Arial" w:cs="Arial"/>
                      <w:sz w:val="20"/>
                    </w:rPr>
                  </w:pPr>
                  <w:r w:rsidRPr="00E46175">
                    <w:rPr>
                      <w:rFonts w:ascii="Arial" w:hAnsi="Arial" w:cs="Arial"/>
                      <w:sz w:val="20"/>
                    </w:rPr>
                    <w:t>£1,900</w:t>
                  </w:r>
                </w:p>
              </w:tc>
              <w:tc>
                <w:tcPr>
                  <w:tcW w:w="1417" w:type="dxa"/>
                  <w:shd w:val="clear" w:color="auto" w:fill="auto"/>
                </w:tcPr>
                <w:p w:rsidR="00DA3AA3" w:rsidRPr="00E46175" w:rsidRDefault="00DA3AA3" w:rsidP="0012753E">
                  <w:pPr>
                    <w:rPr>
                      <w:rFonts w:ascii="Arial" w:hAnsi="Arial" w:cs="Arial"/>
                      <w:sz w:val="20"/>
                    </w:rPr>
                  </w:pPr>
                  <w:r w:rsidRPr="00E46175">
                    <w:rPr>
                      <w:rFonts w:ascii="Arial" w:hAnsi="Arial" w:cs="Arial"/>
                      <w:sz w:val="20"/>
                    </w:rPr>
                    <w:t>£1</w:t>
                  </w:r>
                  <w:r w:rsidR="00201C3F" w:rsidRPr="00E46175">
                    <w:rPr>
                      <w:rFonts w:ascii="Arial" w:hAnsi="Arial" w:cs="Arial"/>
                      <w:sz w:val="20"/>
                    </w:rPr>
                    <w:t>,</w:t>
                  </w:r>
                  <w:r w:rsidRPr="00E46175">
                    <w:rPr>
                      <w:rFonts w:ascii="Arial" w:hAnsi="Arial" w:cs="Arial"/>
                      <w:sz w:val="20"/>
                    </w:rPr>
                    <w:t>068</w:t>
                  </w:r>
                </w:p>
              </w:tc>
              <w:tc>
                <w:tcPr>
                  <w:tcW w:w="1418" w:type="dxa"/>
                  <w:shd w:val="clear" w:color="auto" w:fill="auto"/>
                </w:tcPr>
                <w:p w:rsidR="00DA3AA3" w:rsidRPr="00E46175" w:rsidRDefault="00DA3AA3" w:rsidP="00DA3AA3">
                  <w:pPr>
                    <w:rPr>
                      <w:rFonts w:ascii="Arial" w:hAnsi="Arial" w:cs="Arial"/>
                      <w:sz w:val="20"/>
                    </w:rPr>
                  </w:pPr>
                  <w:r w:rsidRPr="00E46175">
                    <w:rPr>
                      <w:rFonts w:ascii="Arial" w:hAnsi="Arial" w:cs="Arial"/>
                      <w:sz w:val="20"/>
                    </w:rPr>
                    <w:t>£6,172</w:t>
                  </w:r>
                </w:p>
              </w:tc>
            </w:tr>
            <w:tr w:rsidR="00E46175" w:rsidRPr="00E46175" w:rsidTr="00935E32">
              <w:trPr>
                <w:trHeight w:val="369"/>
              </w:trPr>
              <w:tc>
                <w:tcPr>
                  <w:tcW w:w="1980" w:type="dxa"/>
                  <w:shd w:val="clear" w:color="auto" w:fill="auto"/>
                </w:tcPr>
                <w:p w:rsidR="00201C3F" w:rsidRPr="00E46175" w:rsidRDefault="008911D2" w:rsidP="008911D2">
                  <w:pPr>
                    <w:rPr>
                      <w:rFonts w:ascii="Arial" w:hAnsi="Arial" w:cs="Arial"/>
                      <w:sz w:val="20"/>
                    </w:rPr>
                  </w:pPr>
                  <w:r w:rsidRPr="00E46175">
                    <w:rPr>
                      <w:rFonts w:ascii="Arial" w:hAnsi="Arial" w:cs="Arial"/>
                      <w:sz w:val="20"/>
                    </w:rPr>
                    <w:t>8</w:t>
                  </w:r>
                  <w:r w:rsidR="00201C3F" w:rsidRPr="00E46175">
                    <w:rPr>
                      <w:rFonts w:ascii="Arial" w:hAnsi="Arial" w:cs="Arial"/>
                      <w:sz w:val="20"/>
                    </w:rPr>
                    <w:t>. Animas Vibe</w:t>
                  </w:r>
                  <w:r w:rsidR="008318B3">
                    <w:rPr>
                      <w:rFonts w:ascii="Arial" w:hAnsi="Arial" w:cs="Arial"/>
                      <w:sz w:val="20"/>
                    </w:rPr>
                    <w:t>*</w:t>
                  </w:r>
                  <w:r w:rsidR="000E4908" w:rsidRPr="00E46175">
                    <w:rPr>
                      <w:rFonts w:ascii="Arial" w:hAnsi="Arial" w:cs="Arial"/>
                      <w:sz w:val="20"/>
                    </w:rPr>
                    <w:t>*</w:t>
                  </w:r>
                </w:p>
              </w:tc>
              <w:tc>
                <w:tcPr>
                  <w:tcW w:w="1134" w:type="dxa"/>
                </w:tcPr>
                <w:p w:rsidR="00201C3F" w:rsidRPr="00E46175" w:rsidRDefault="00201C3F" w:rsidP="00201C3F">
                  <w:pPr>
                    <w:rPr>
                      <w:rFonts w:ascii="Arial" w:hAnsi="Arial" w:cs="Arial"/>
                      <w:sz w:val="20"/>
                    </w:rPr>
                  </w:pPr>
                  <w:r w:rsidRPr="00E46175">
                    <w:rPr>
                      <w:rFonts w:ascii="Arial" w:hAnsi="Arial" w:cs="Arial"/>
                      <w:sz w:val="20"/>
                    </w:rPr>
                    <w:t>Yes</w:t>
                  </w:r>
                </w:p>
              </w:tc>
              <w:tc>
                <w:tcPr>
                  <w:tcW w:w="1843" w:type="dxa"/>
                  <w:shd w:val="clear" w:color="auto" w:fill="auto"/>
                </w:tcPr>
                <w:p w:rsidR="00201C3F" w:rsidRPr="00E46175" w:rsidRDefault="00201C3F" w:rsidP="00201C3F">
                  <w:pPr>
                    <w:rPr>
                      <w:rFonts w:ascii="Arial" w:hAnsi="Arial" w:cs="Arial"/>
                      <w:sz w:val="20"/>
                    </w:rPr>
                  </w:pPr>
                  <w:r w:rsidRPr="00E46175">
                    <w:rPr>
                      <w:rFonts w:ascii="Arial" w:hAnsi="Arial" w:cs="Arial"/>
                      <w:sz w:val="20"/>
                    </w:rPr>
                    <w:t>£2,800</w:t>
                  </w:r>
                </w:p>
              </w:tc>
              <w:tc>
                <w:tcPr>
                  <w:tcW w:w="1417" w:type="dxa"/>
                  <w:shd w:val="clear" w:color="auto" w:fill="auto"/>
                </w:tcPr>
                <w:p w:rsidR="00201C3F" w:rsidRPr="00E46175" w:rsidRDefault="00201C3F" w:rsidP="00201C3F">
                  <w:pPr>
                    <w:rPr>
                      <w:rFonts w:ascii="Arial" w:hAnsi="Arial" w:cs="Arial"/>
                      <w:sz w:val="20"/>
                    </w:rPr>
                  </w:pPr>
                  <w:r w:rsidRPr="00E46175">
                    <w:rPr>
                      <w:rFonts w:ascii="Arial" w:hAnsi="Arial" w:cs="Arial"/>
                      <w:sz w:val="20"/>
                    </w:rPr>
                    <w:t>£1,464</w:t>
                  </w:r>
                </w:p>
              </w:tc>
              <w:tc>
                <w:tcPr>
                  <w:tcW w:w="1418" w:type="dxa"/>
                  <w:shd w:val="clear" w:color="auto" w:fill="auto"/>
                </w:tcPr>
                <w:p w:rsidR="00201C3F" w:rsidRPr="00E46175" w:rsidRDefault="00201C3F" w:rsidP="00201C3F">
                  <w:pPr>
                    <w:rPr>
                      <w:rFonts w:ascii="Arial" w:hAnsi="Arial" w:cs="Arial"/>
                      <w:sz w:val="20"/>
                    </w:rPr>
                  </w:pPr>
                  <w:r w:rsidRPr="00E46175">
                    <w:rPr>
                      <w:rFonts w:ascii="Arial" w:hAnsi="Arial" w:cs="Arial"/>
                      <w:sz w:val="20"/>
                    </w:rPr>
                    <w:t>£8,656</w:t>
                  </w:r>
                </w:p>
              </w:tc>
            </w:tr>
            <w:tr w:rsidR="00373C39" w:rsidRPr="00E46175" w:rsidTr="00935E32">
              <w:trPr>
                <w:trHeight w:val="369"/>
              </w:trPr>
              <w:tc>
                <w:tcPr>
                  <w:tcW w:w="1980" w:type="dxa"/>
                  <w:shd w:val="clear" w:color="auto" w:fill="auto"/>
                </w:tcPr>
                <w:p w:rsidR="00373C39" w:rsidRPr="00E46175" w:rsidRDefault="00373C39" w:rsidP="008318B3">
                  <w:pPr>
                    <w:rPr>
                      <w:rFonts w:ascii="Arial" w:hAnsi="Arial" w:cs="Arial"/>
                      <w:sz w:val="20"/>
                    </w:rPr>
                  </w:pPr>
                  <w:r>
                    <w:rPr>
                      <w:rFonts w:ascii="Arial" w:hAnsi="Arial" w:cs="Arial"/>
                      <w:sz w:val="20"/>
                    </w:rPr>
                    <w:t>9. Medtronic 670G</w:t>
                  </w:r>
                  <w:r w:rsidR="003F65BA">
                    <w:rPr>
                      <w:rFonts w:ascii="Arial" w:hAnsi="Arial" w:cs="Arial"/>
                      <w:sz w:val="20"/>
                    </w:rPr>
                    <w:t>*</w:t>
                  </w:r>
                  <w:r w:rsidR="008318B3">
                    <w:rPr>
                      <w:rFonts w:ascii="Arial" w:hAnsi="Arial" w:cs="Arial"/>
                      <w:sz w:val="20"/>
                    </w:rPr>
                    <w:t>*</w:t>
                  </w:r>
                  <w:r w:rsidR="003F65BA">
                    <w:rPr>
                      <w:rFonts w:ascii="Arial" w:hAnsi="Arial" w:cs="Arial"/>
                      <w:sz w:val="20"/>
                    </w:rPr>
                    <w:t>*</w:t>
                  </w:r>
                </w:p>
              </w:tc>
              <w:tc>
                <w:tcPr>
                  <w:tcW w:w="1134" w:type="dxa"/>
                </w:tcPr>
                <w:p w:rsidR="00373C39" w:rsidRPr="00E46175" w:rsidRDefault="00373C39" w:rsidP="00201C3F">
                  <w:pPr>
                    <w:rPr>
                      <w:rFonts w:ascii="Arial" w:hAnsi="Arial" w:cs="Arial"/>
                      <w:sz w:val="20"/>
                    </w:rPr>
                  </w:pPr>
                  <w:r>
                    <w:rPr>
                      <w:rFonts w:ascii="Arial" w:hAnsi="Arial" w:cs="Arial"/>
                      <w:sz w:val="20"/>
                    </w:rPr>
                    <w:t>Yes</w:t>
                  </w:r>
                </w:p>
              </w:tc>
              <w:tc>
                <w:tcPr>
                  <w:tcW w:w="1843" w:type="dxa"/>
                  <w:shd w:val="clear" w:color="auto" w:fill="auto"/>
                </w:tcPr>
                <w:p w:rsidR="00373C39" w:rsidRPr="00E46175" w:rsidRDefault="00373C39" w:rsidP="003A10DE">
                  <w:pPr>
                    <w:rPr>
                      <w:rFonts w:ascii="Arial" w:hAnsi="Arial" w:cs="Arial"/>
                      <w:sz w:val="20"/>
                    </w:rPr>
                  </w:pPr>
                  <w:r>
                    <w:rPr>
                      <w:rFonts w:ascii="Arial" w:hAnsi="Arial" w:cs="Arial"/>
                      <w:sz w:val="20"/>
                    </w:rPr>
                    <w:t>£3,</w:t>
                  </w:r>
                  <w:r w:rsidR="003A10DE">
                    <w:rPr>
                      <w:rFonts w:ascii="Arial" w:hAnsi="Arial" w:cs="Arial"/>
                      <w:sz w:val="20"/>
                    </w:rPr>
                    <w:t>291</w:t>
                  </w:r>
                </w:p>
              </w:tc>
              <w:tc>
                <w:tcPr>
                  <w:tcW w:w="1417" w:type="dxa"/>
                  <w:shd w:val="clear" w:color="auto" w:fill="auto"/>
                </w:tcPr>
                <w:p w:rsidR="00373C39" w:rsidRPr="00E46175" w:rsidRDefault="00373C39" w:rsidP="003A10DE">
                  <w:pPr>
                    <w:rPr>
                      <w:rFonts w:ascii="Arial" w:hAnsi="Arial" w:cs="Arial"/>
                      <w:sz w:val="20"/>
                    </w:rPr>
                  </w:pPr>
                  <w:r w:rsidRPr="00E46175">
                    <w:rPr>
                      <w:rFonts w:ascii="Arial" w:hAnsi="Arial" w:cs="Arial"/>
                      <w:sz w:val="20"/>
                    </w:rPr>
                    <w:t>£1,</w:t>
                  </w:r>
                  <w:r w:rsidR="003A10DE">
                    <w:rPr>
                      <w:rFonts w:ascii="Arial" w:hAnsi="Arial" w:cs="Arial"/>
                      <w:sz w:val="20"/>
                    </w:rPr>
                    <w:t>683</w:t>
                  </w:r>
                </w:p>
              </w:tc>
              <w:tc>
                <w:tcPr>
                  <w:tcW w:w="1418" w:type="dxa"/>
                  <w:shd w:val="clear" w:color="auto" w:fill="auto"/>
                </w:tcPr>
                <w:p w:rsidR="00373C39" w:rsidRPr="00E46175" w:rsidRDefault="00373C39" w:rsidP="003A10DE">
                  <w:pPr>
                    <w:rPr>
                      <w:rFonts w:ascii="Arial" w:hAnsi="Arial" w:cs="Arial"/>
                      <w:sz w:val="20"/>
                    </w:rPr>
                  </w:pPr>
                  <w:r>
                    <w:rPr>
                      <w:rFonts w:ascii="Arial" w:hAnsi="Arial" w:cs="Arial"/>
                      <w:sz w:val="20"/>
                    </w:rPr>
                    <w:t>£10,</w:t>
                  </w:r>
                  <w:r w:rsidR="003A10DE">
                    <w:rPr>
                      <w:rFonts w:ascii="Arial" w:hAnsi="Arial" w:cs="Arial"/>
                      <w:sz w:val="20"/>
                    </w:rPr>
                    <w:t>023</w:t>
                  </w:r>
                </w:p>
              </w:tc>
            </w:tr>
            <w:tr w:rsidR="00373C39" w:rsidRPr="00E46175" w:rsidTr="00935E32">
              <w:trPr>
                <w:trHeight w:val="369"/>
              </w:trPr>
              <w:tc>
                <w:tcPr>
                  <w:tcW w:w="1980" w:type="dxa"/>
                  <w:shd w:val="clear" w:color="auto" w:fill="auto"/>
                </w:tcPr>
                <w:p w:rsidR="00373C39" w:rsidRPr="00E46175" w:rsidRDefault="00373C39" w:rsidP="00373C39">
                  <w:pPr>
                    <w:rPr>
                      <w:rFonts w:ascii="Arial" w:hAnsi="Arial" w:cs="Arial"/>
                      <w:sz w:val="20"/>
                    </w:rPr>
                  </w:pPr>
                  <w:r>
                    <w:rPr>
                      <w:rFonts w:ascii="Arial" w:hAnsi="Arial" w:cs="Arial"/>
                      <w:sz w:val="20"/>
                    </w:rPr>
                    <w:t>10. T-Slim</w:t>
                  </w:r>
                  <w:r w:rsidR="003F65BA">
                    <w:rPr>
                      <w:rFonts w:ascii="Arial" w:hAnsi="Arial" w:cs="Arial"/>
                      <w:sz w:val="20"/>
                    </w:rPr>
                    <w:t>**</w:t>
                  </w:r>
                  <w:r w:rsidR="00B73271">
                    <w:rPr>
                      <w:rFonts w:ascii="Arial" w:hAnsi="Arial" w:cs="Arial"/>
                      <w:sz w:val="20"/>
                    </w:rPr>
                    <w:t>*</w:t>
                  </w:r>
                </w:p>
              </w:tc>
              <w:tc>
                <w:tcPr>
                  <w:tcW w:w="1134" w:type="dxa"/>
                </w:tcPr>
                <w:p w:rsidR="00373C39" w:rsidRPr="00E46175" w:rsidRDefault="00373C39" w:rsidP="00373C39">
                  <w:pPr>
                    <w:rPr>
                      <w:rFonts w:ascii="Arial" w:hAnsi="Arial" w:cs="Arial"/>
                      <w:sz w:val="20"/>
                    </w:rPr>
                  </w:pPr>
                  <w:r>
                    <w:rPr>
                      <w:rFonts w:ascii="Arial" w:hAnsi="Arial" w:cs="Arial"/>
                      <w:sz w:val="20"/>
                    </w:rPr>
                    <w:t>Yes</w:t>
                  </w:r>
                </w:p>
              </w:tc>
              <w:tc>
                <w:tcPr>
                  <w:tcW w:w="1843" w:type="dxa"/>
                  <w:shd w:val="clear" w:color="auto" w:fill="auto"/>
                </w:tcPr>
                <w:p w:rsidR="00373C39" w:rsidRPr="00E46175" w:rsidRDefault="00373C39" w:rsidP="00201C3F">
                  <w:pPr>
                    <w:rPr>
                      <w:rFonts w:ascii="Arial" w:hAnsi="Arial" w:cs="Arial"/>
                      <w:sz w:val="20"/>
                    </w:rPr>
                  </w:pPr>
                  <w:r>
                    <w:rPr>
                      <w:rFonts w:ascii="Arial" w:hAnsi="Arial" w:cs="Arial"/>
                      <w:sz w:val="20"/>
                    </w:rPr>
                    <w:t>£3,150</w:t>
                  </w:r>
                </w:p>
              </w:tc>
              <w:tc>
                <w:tcPr>
                  <w:tcW w:w="1417" w:type="dxa"/>
                  <w:shd w:val="clear" w:color="auto" w:fill="auto"/>
                </w:tcPr>
                <w:p w:rsidR="00373C39" w:rsidRPr="00E46175" w:rsidRDefault="00373C39" w:rsidP="00201C3F">
                  <w:pPr>
                    <w:rPr>
                      <w:rFonts w:ascii="Arial" w:hAnsi="Arial" w:cs="Arial"/>
                      <w:sz w:val="20"/>
                    </w:rPr>
                  </w:pPr>
                  <w:r>
                    <w:rPr>
                      <w:rFonts w:ascii="Arial" w:hAnsi="Arial" w:cs="Arial"/>
                      <w:sz w:val="20"/>
                    </w:rPr>
                    <w:t>£1,587.95</w:t>
                  </w:r>
                </w:p>
              </w:tc>
              <w:tc>
                <w:tcPr>
                  <w:tcW w:w="1418" w:type="dxa"/>
                  <w:shd w:val="clear" w:color="auto" w:fill="auto"/>
                </w:tcPr>
                <w:p w:rsidR="00373C39" w:rsidRPr="00E46175" w:rsidRDefault="00373C39" w:rsidP="00201C3F">
                  <w:pPr>
                    <w:rPr>
                      <w:rFonts w:ascii="Arial" w:hAnsi="Arial" w:cs="Arial"/>
                      <w:sz w:val="20"/>
                    </w:rPr>
                  </w:pPr>
                  <w:r>
                    <w:rPr>
                      <w:rFonts w:ascii="Arial" w:hAnsi="Arial" w:cs="Arial"/>
                      <w:sz w:val="20"/>
                    </w:rPr>
                    <w:t>£9,501.80</w:t>
                  </w:r>
                </w:p>
              </w:tc>
            </w:tr>
          </w:tbl>
          <w:p w:rsidR="00B837BF" w:rsidRPr="00E46175" w:rsidRDefault="00234BA1" w:rsidP="00B837BF">
            <w:pPr>
              <w:ind w:right="175"/>
              <w:rPr>
                <w:rFonts w:ascii="Calibri" w:hAnsi="Calibri" w:cs="Calibri"/>
                <w:i/>
              </w:rPr>
            </w:pPr>
            <w:r w:rsidRPr="00E46175">
              <w:rPr>
                <w:rFonts w:ascii="Calibri" w:hAnsi="Calibri" w:cs="Calibri"/>
                <w:i/>
              </w:rPr>
              <w:t>T</w:t>
            </w:r>
            <w:r w:rsidR="00B837BF" w:rsidRPr="00E46175">
              <w:rPr>
                <w:rFonts w:ascii="Calibri" w:hAnsi="Calibri" w:cs="Calibri"/>
                <w:i/>
              </w:rPr>
              <w:t xml:space="preserve">able: </w:t>
            </w:r>
            <w:r w:rsidR="000C58A9" w:rsidRPr="00E46175">
              <w:rPr>
                <w:rFonts w:ascii="Calibri" w:hAnsi="Calibri" w:cs="Calibri"/>
                <w:i/>
              </w:rPr>
              <w:t>Commonly used</w:t>
            </w:r>
            <w:r w:rsidR="008318B3">
              <w:rPr>
                <w:rFonts w:ascii="Calibri" w:hAnsi="Calibri" w:cs="Calibri"/>
                <w:i/>
              </w:rPr>
              <w:t xml:space="preserve"> /currently available</w:t>
            </w:r>
            <w:r w:rsidR="000C58A9" w:rsidRPr="00E46175">
              <w:rPr>
                <w:rFonts w:ascii="Calibri" w:hAnsi="Calibri" w:cs="Calibri"/>
                <w:i/>
              </w:rPr>
              <w:t xml:space="preserve"> insulin pumps across Merseyside Pump Centres (2018). </w:t>
            </w:r>
            <w:r w:rsidRPr="00E46175">
              <w:rPr>
                <w:rFonts w:ascii="Calibri" w:hAnsi="Calibri" w:cs="Calibri"/>
                <w:i/>
              </w:rPr>
              <w:t xml:space="preserve">Insulin pump costs excluding VAT </w:t>
            </w:r>
            <w:r w:rsidR="000C58A9" w:rsidRPr="00E46175">
              <w:rPr>
                <w:rFonts w:ascii="Calibri" w:hAnsi="Calibri" w:cs="Calibri"/>
                <w:i/>
              </w:rPr>
              <w:t>-</w:t>
            </w:r>
            <w:r w:rsidRPr="00E46175">
              <w:rPr>
                <w:rFonts w:ascii="Calibri" w:hAnsi="Calibri" w:cs="Calibri"/>
                <w:i/>
              </w:rPr>
              <w:t xml:space="preserve"> 201</w:t>
            </w:r>
            <w:r w:rsidR="00201C3F" w:rsidRPr="00E46175">
              <w:rPr>
                <w:rFonts w:ascii="Calibri" w:hAnsi="Calibri" w:cs="Calibri"/>
                <w:i/>
              </w:rPr>
              <w:t>8</w:t>
            </w:r>
            <w:r w:rsidRPr="00E46175">
              <w:rPr>
                <w:rFonts w:ascii="Calibri" w:hAnsi="Calibri" w:cs="Calibri"/>
                <w:i/>
              </w:rPr>
              <w:t xml:space="preserve"> financial data provided by UK insul</w:t>
            </w:r>
            <w:r w:rsidR="005476D6" w:rsidRPr="00E46175">
              <w:rPr>
                <w:rFonts w:ascii="Calibri" w:hAnsi="Calibri" w:cs="Calibri"/>
                <w:i/>
              </w:rPr>
              <w:t>in pump company representatives</w:t>
            </w:r>
            <w:r w:rsidR="00201C3F" w:rsidRPr="00E46175">
              <w:rPr>
                <w:rFonts w:ascii="Calibri" w:hAnsi="Calibri" w:cs="Calibri"/>
                <w:i/>
              </w:rPr>
              <w:t xml:space="preserve"> for</w:t>
            </w:r>
            <w:r w:rsidRPr="00E46175">
              <w:rPr>
                <w:rFonts w:ascii="Calibri" w:hAnsi="Calibri" w:cs="Calibri"/>
                <w:i/>
              </w:rPr>
              <w:t xml:space="preserve"> (</w:t>
            </w:r>
            <w:r w:rsidR="005476D6" w:rsidRPr="00E46175">
              <w:rPr>
                <w:rFonts w:ascii="Calibri" w:hAnsi="Calibri" w:cs="Calibri"/>
                <w:i/>
              </w:rPr>
              <w:t>1</w:t>
            </w:r>
            <w:r w:rsidRPr="00E46175">
              <w:rPr>
                <w:rFonts w:ascii="Calibri" w:hAnsi="Calibri" w:cs="Calibri"/>
                <w:i/>
              </w:rPr>
              <w:t xml:space="preserve">) </w:t>
            </w:r>
            <w:r w:rsidR="008911D2" w:rsidRPr="00E46175">
              <w:rPr>
                <w:rFonts w:ascii="Calibri" w:hAnsi="Calibri" w:cs="Calibri"/>
                <w:i/>
              </w:rPr>
              <w:t xml:space="preserve">&amp; (2) </w:t>
            </w:r>
            <w:r w:rsidRPr="00E46175">
              <w:rPr>
                <w:rFonts w:ascii="Calibri" w:hAnsi="Calibri" w:cs="Calibri"/>
                <w:i/>
              </w:rPr>
              <w:t>Roche Diabetes Care Ltd, (</w:t>
            </w:r>
            <w:r w:rsidR="008911D2" w:rsidRPr="00E46175">
              <w:rPr>
                <w:rFonts w:ascii="Calibri" w:hAnsi="Calibri" w:cs="Calibri"/>
                <w:i/>
              </w:rPr>
              <w:t>3</w:t>
            </w:r>
            <w:r w:rsidRPr="00E46175">
              <w:rPr>
                <w:rFonts w:ascii="Calibri" w:hAnsi="Calibri" w:cs="Calibri"/>
                <w:i/>
              </w:rPr>
              <w:t>) Medtronic Ltd, (</w:t>
            </w:r>
            <w:r w:rsidR="008911D2" w:rsidRPr="00E46175">
              <w:rPr>
                <w:rFonts w:ascii="Calibri" w:hAnsi="Calibri" w:cs="Calibri"/>
                <w:i/>
              </w:rPr>
              <w:t>4</w:t>
            </w:r>
            <w:r w:rsidRPr="00E46175">
              <w:rPr>
                <w:rFonts w:ascii="Calibri" w:hAnsi="Calibri" w:cs="Calibri"/>
                <w:i/>
              </w:rPr>
              <w:t xml:space="preserve">) </w:t>
            </w:r>
            <w:proofErr w:type="spellStart"/>
            <w:r w:rsidRPr="00E46175">
              <w:rPr>
                <w:rFonts w:ascii="Calibri" w:hAnsi="Calibri" w:cs="Calibri"/>
                <w:i/>
              </w:rPr>
              <w:t>Cellnovo</w:t>
            </w:r>
            <w:proofErr w:type="spellEnd"/>
            <w:r w:rsidRPr="00E46175">
              <w:rPr>
                <w:rFonts w:ascii="Calibri" w:hAnsi="Calibri" w:cs="Calibri"/>
                <w:i/>
              </w:rPr>
              <w:t xml:space="preserve"> Lt</w:t>
            </w:r>
            <w:r w:rsidR="005476D6" w:rsidRPr="00E46175">
              <w:rPr>
                <w:rFonts w:ascii="Calibri" w:hAnsi="Calibri" w:cs="Calibri"/>
                <w:i/>
              </w:rPr>
              <w:t>d</w:t>
            </w:r>
            <w:r w:rsidR="00201C3F" w:rsidRPr="00E46175">
              <w:rPr>
                <w:rFonts w:ascii="Calibri" w:hAnsi="Calibri" w:cs="Calibri"/>
                <w:i/>
              </w:rPr>
              <w:t>,</w:t>
            </w:r>
            <w:r w:rsidRPr="00E46175">
              <w:rPr>
                <w:rFonts w:ascii="Calibri" w:hAnsi="Calibri" w:cs="Calibri"/>
                <w:i/>
              </w:rPr>
              <w:t xml:space="preserve"> (</w:t>
            </w:r>
            <w:r w:rsidR="008911D2" w:rsidRPr="00E46175">
              <w:rPr>
                <w:rFonts w:ascii="Calibri" w:hAnsi="Calibri" w:cs="Calibri"/>
                <w:i/>
              </w:rPr>
              <w:t>5</w:t>
            </w:r>
            <w:r w:rsidRPr="00E46175">
              <w:rPr>
                <w:rFonts w:ascii="Calibri" w:hAnsi="Calibri" w:cs="Calibri"/>
                <w:i/>
              </w:rPr>
              <w:t xml:space="preserve">) </w:t>
            </w:r>
            <w:proofErr w:type="spellStart"/>
            <w:r w:rsidR="0056179C" w:rsidRPr="00E46175">
              <w:rPr>
                <w:rFonts w:ascii="Calibri" w:hAnsi="Calibri" w:cs="Calibri"/>
                <w:i/>
              </w:rPr>
              <w:t>Insulet</w:t>
            </w:r>
            <w:proofErr w:type="spellEnd"/>
            <w:r w:rsidR="0056179C" w:rsidRPr="00E46175">
              <w:rPr>
                <w:rFonts w:ascii="Calibri" w:hAnsi="Calibri" w:cs="Calibri"/>
                <w:i/>
              </w:rPr>
              <w:t xml:space="preserve"> corporation</w:t>
            </w:r>
            <w:r w:rsidRPr="00E46175">
              <w:rPr>
                <w:rFonts w:ascii="Calibri" w:hAnsi="Calibri" w:cs="Calibri"/>
                <w:i/>
              </w:rPr>
              <w:t>)</w:t>
            </w:r>
            <w:r w:rsidR="008911D2" w:rsidRPr="00E46175">
              <w:rPr>
                <w:rFonts w:ascii="Calibri" w:hAnsi="Calibri" w:cs="Calibri"/>
                <w:i/>
              </w:rPr>
              <w:t xml:space="preserve">, (6) Advanced Therapeutics (UK) Ltd </w:t>
            </w:r>
            <w:r w:rsidR="00DD5B53">
              <w:rPr>
                <w:rFonts w:ascii="Calibri" w:hAnsi="Calibri" w:cs="Calibri"/>
                <w:i/>
              </w:rPr>
              <w:t>(</w:t>
            </w:r>
            <w:r w:rsidR="00B73271">
              <w:rPr>
                <w:rFonts w:ascii="Calibri" w:hAnsi="Calibri" w:cs="Calibri"/>
                <w:i/>
              </w:rPr>
              <w:t>*</w:t>
            </w:r>
            <w:r w:rsidR="00DD5B53">
              <w:rPr>
                <w:rFonts w:ascii="Calibri" w:hAnsi="Calibri" w:cs="Calibri"/>
                <w:i/>
              </w:rPr>
              <w:t xml:space="preserve">assumes 2% consumables price increase per annum) </w:t>
            </w:r>
            <w:r w:rsidR="008911D2" w:rsidRPr="00E46175">
              <w:rPr>
                <w:rFonts w:ascii="Calibri" w:hAnsi="Calibri" w:cs="Calibri"/>
                <w:i/>
              </w:rPr>
              <w:t>and</w:t>
            </w:r>
            <w:r w:rsidR="00201C3F" w:rsidRPr="00E46175">
              <w:rPr>
                <w:rFonts w:ascii="Calibri" w:hAnsi="Calibri" w:cs="Calibri"/>
                <w:i/>
              </w:rPr>
              <w:t xml:space="preserve"> </w:t>
            </w:r>
            <w:r w:rsidR="005476D6" w:rsidRPr="00E46175">
              <w:rPr>
                <w:rFonts w:ascii="Calibri" w:hAnsi="Calibri" w:cs="Calibri"/>
                <w:i/>
              </w:rPr>
              <w:t>(</w:t>
            </w:r>
            <w:r w:rsidR="008911D2" w:rsidRPr="00E46175">
              <w:rPr>
                <w:rFonts w:ascii="Calibri" w:hAnsi="Calibri" w:cs="Calibri"/>
                <w:i/>
              </w:rPr>
              <w:t>7</w:t>
            </w:r>
            <w:r w:rsidR="005476D6" w:rsidRPr="00E46175">
              <w:rPr>
                <w:rFonts w:ascii="Calibri" w:hAnsi="Calibri" w:cs="Calibri"/>
                <w:i/>
              </w:rPr>
              <w:t xml:space="preserve">) </w:t>
            </w:r>
            <w:proofErr w:type="spellStart"/>
            <w:r w:rsidR="00201C3F" w:rsidRPr="00E46175">
              <w:rPr>
                <w:rFonts w:ascii="Calibri" w:hAnsi="Calibri" w:cs="Calibri"/>
                <w:i/>
              </w:rPr>
              <w:t>Ypsomed</w:t>
            </w:r>
            <w:proofErr w:type="spellEnd"/>
            <w:r w:rsidR="00201C3F" w:rsidRPr="00E46175">
              <w:rPr>
                <w:rFonts w:ascii="Calibri" w:hAnsi="Calibri" w:cs="Calibri"/>
                <w:i/>
              </w:rPr>
              <w:t xml:space="preserve"> Ltd.  </w:t>
            </w:r>
            <w:r w:rsidR="00B73271">
              <w:rPr>
                <w:rFonts w:ascii="Calibri" w:hAnsi="Calibri" w:cs="Calibri"/>
                <w:i/>
              </w:rPr>
              <w:t>**</w:t>
            </w:r>
            <w:r w:rsidR="005476D6" w:rsidRPr="00E46175">
              <w:rPr>
                <w:rFonts w:ascii="Calibri" w:hAnsi="Calibri" w:cs="Calibri"/>
                <w:i/>
              </w:rPr>
              <w:t xml:space="preserve">Animas </w:t>
            </w:r>
            <w:r w:rsidR="00201C3F" w:rsidRPr="00E46175">
              <w:rPr>
                <w:rFonts w:ascii="Calibri" w:hAnsi="Calibri" w:cs="Calibri"/>
                <w:i/>
              </w:rPr>
              <w:t xml:space="preserve">data </w:t>
            </w:r>
            <w:r w:rsidR="008911D2" w:rsidRPr="00E46175">
              <w:rPr>
                <w:rFonts w:ascii="Calibri" w:hAnsi="Calibri" w:cs="Calibri"/>
                <w:i/>
              </w:rPr>
              <w:t xml:space="preserve">(8) </w:t>
            </w:r>
            <w:r w:rsidR="00201C3F" w:rsidRPr="00E46175">
              <w:rPr>
                <w:rFonts w:ascii="Calibri" w:hAnsi="Calibri" w:cs="Calibri"/>
                <w:i/>
              </w:rPr>
              <w:t>historical (</w:t>
            </w:r>
            <w:proofErr w:type="spellStart"/>
            <w:r w:rsidR="00201C3F" w:rsidRPr="00E46175">
              <w:rPr>
                <w:rFonts w:ascii="Calibri" w:hAnsi="Calibri" w:cs="Calibri"/>
                <w:i/>
              </w:rPr>
              <w:t>Amimas</w:t>
            </w:r>
            <w:proofErr w:type="spellEnd"/>
            <w:r w:rsidR="00201C3F" w:rsidRPr="00E46175">
              <w:rPr>
                <w:rFonts w:ascii="Calibri" w:hAnsi="Calibri" w:cs="Calibri"/>
                <w:i/>
              </w:rPr>
              <w:t xml:space="preserve"> </w:t>
            </w:r>
            <w:r w:rsidR="005476D6" w:rsidRPr="00E46175">
              <w:rPr>
                <w:rFonts w:ascii="Calibri" w:hAnsi="Calibri" w:cs="Calibri"/>
                <w:i/>
              </w:rPr>
              <w:t>UK &amp; Ireland</w:t>
            </w:r>
            <w:r w:rsidR="00201C3F" w:rsidRPr="00E46175">
              <w:rPr>
                <w:rFonts w:ascii="Calibri" w:hAnsi="Calibri" w:cs="Calibri"/>
                <w:i/>
              </w:rPr>
              <w:t xml:space="preserve">) – 2017. </w:t>
            </w:r>
            <w:r w:rsidR="00373C39">
              <w:rPr>
                <w:rFonts w:ascii="Calibri" w:hAnsi="Calibri" w:cs="Calibri"/>
                <w:i/>
              </w:rPr>
              <w:t xml:space="preserve"> </w:t>
            </w:r>
            <w:r w:rsidR="003F65BA">
              <w:rPr>
                <w:rFonts w:ascii="Calibri" w:hAnsi="Calibri" w:cs="Calibri"/>
                <w:i/>
              </w:rPr>
              <w:t>*</w:t>
            </w:r>
            <w:r w:rsidR="008318B3">
              <w:rPr>
                <w:rFonts w:ascii="Calibri" w:hAnsi="Calibri" w:cs="Calibri"/>
                <w:i/>
              </w:rPr>
              <w:t>*</w:t>
            </w:r>
            <w:r w:rsidR="003F65BA">
              <w:rPr>
                <w:rFonts w:ascii="Calibri" w:hAnsi="Calibri" w:cs="Calibri"/>
                <w:i/>
              </w:rPr>
              <w:t>*</w:t>
            </w:r>
            <w:r w:rsidR="00B73271">
              <w:rPr>
                <w:rFonts w:ascii="Calibri" w:hAnsi="Calibri" w:cs="Calibri"/>
                <w:i/>
              </w:rPr>
              <w:t>C</w:t>
            </w:r>
            <w:r w:rsidR="00373C39">
              <w:rPr>
                <w:rFonts w:ascii="Calibri" w:hAnsi="Calibri" w:cs="Calibri"/>
                <w:i/>
              </w:rPr>
              <w:t xml:space="preserve">osts for (9) Medtronic Ltd and (10) Air Liquide Homecare Ltd provided 2019 as new to market. </w:t>
            </w:r>
          </w:p>
          <w:p w:rsidR="004E5F9D" w:rsidRDefault="004E5F9D" w:rsidP="00BC3E7F">
            <w:pPr>
              <w:rPr>
                <w:rFonts w:cs="Arial"/>
                <w:sz w:val="24"/>
                <w:szCs w:val="24"/>
              </w:rPr>
            </w:pPr>
          </w:p>
          <w:p w:rsidR="00B73271" w:rsidRDefault="00B73271" w:rsidP="00BC3E7F">
            <w:pPr>
              <w:rPr>
                <w:rFonts w:cs="Arial"/>
                <w:sz w:val="24"/>
                <w:szCs w:val="24"/>
              </w:rPr>
            </w:pPr>
          </w:p>
          <w:p w:rsidR="000E4908" w:rsidRDefault="000E4908" w:rsidP="000E4908">
            <w:pPr>
              <w:ind w:right="175"/>
              <w:jc w:val="both"/>
              <w:rPr>
                <w:rFonts w:ascii="Calibri" w:hAnsi="Calibri" w:cs="Calibri"/>
                <w:color w:val="000000"/>
              </w:rPr>
            </w:pPr>
            <w:r>
              <w:rPr>
                <w:rFonts w:ascii="Calibri" w:hAnsi="Calibri" w:cs="Calibri"/>
                <w:color w:val="000000"/>
              </w:rPr>
              <w:t xml:space="preserve">NB ANIMAS Vibe pumps are being withdrawn so no new patients are to be started on these pumps. Existing patients will be supported until </w:t>
            </w:r>
            <w:r w:rsidRPr="00FF318F">
              <w:rPr>
                <w:rFonts w:ascii="Calibri" w:hAnsi="Calibri" w:cs="Calibri"/>
                <w:color w:val="000000"/>
              </w:rPr>
              <w:t>they transfer to an alternative system</w:t>
            </w:r>
            <w:r>
              <w:rPr>
                <w:rFonts w:ascii="Calibri" w:hAnsi="Calibri" w:cs="Calibri"/>
                <w:color w:val="000000"/>
              </w:rPr>
              <w:t>.</w:t>
            </w:r>
          </w:p>
          <w:p w:rsidR="000E4908" w:rsidRDefault="000E4908" w:rsidP="00C0799F">
            <w:pPr>
              <w:ind w:right="175"/>
              <w:jc w:val="both"/>
              <w:rPr>
                <w:rFonts w:ascii="Calibri" w:hAnsi="Calibri" w:cs="Calibri"/>
                <w:color w:val="000000"/>
              </w:rPr>
            </w:pPr>
          </w:p>
          <w:p w:rsidR="00C0799F" w:rsidRDefault="00C0799F" w:rsidP="00C0799F">
            <w:pPr>
              <w:ind w:right="175"/>
              <w:jc w:val="both"/>
              <w:rPr>
                <w:rFonts w:ascii="Calibri" w:hAnsi="Calibri" w:cs="Calibri"/>
                <w:color w:val="000000"/>
              </w:rPr>
            </w:pPr>
            <w:r w:rsidRPr="00C0799F">
              <w:rPr>
                <w:rFonts w:ascii="Calibri" w:hAnsi="Calibri" w:cs="Calibri"/>
                <w:color w:val="000000"/>
              </w:rPr>
              <w:t xml:space="preserve">This service will only provide pumps from the agreed list </w:t>
            </w:r>
            <w:r w:rsidR="005476D6">
              <w:rPr>
                <w:rFonts w:ascii="Calibri" w:hAnsi="Calibri" w:cs="Calibri"/>
                <w:color w:val="000000"/>
              </w:rPr>
              <w:t>in this policy.</w:t>
            </w:r>
            <w:r w:rsidRPr="00C0799F">
              <w:rPr>
                <w:rFonts w:ascii="Calibri" w:hAnsi="Calibri" w:cs="Calibri"/>
                <w:color w:val="000000"/>
              </w:rPr>
              <w:t xml:space="preserve"> Any amendments to this list will need to be approved by the respective CCGs prior to any changes being made.  Where one of these pumps is not suitable and the service wishes to use an alternative pump a request must be made via the individu</w:t>
            </w:r>
            <w:r w:rsidR="00477D6A">
              <w:rPr>
                <w:rFonts w:ascii="Calibri" w:hAnsi="Calibri" w:cs="Calibri"/>
                <w:color w:val="000000"/>
              </w:rPr>
              <w:t>al patient commissioning route.</w:t>
            </w:r>
          </w:p>
          <w:p w:rsidR="00477D6A" w:rsidRDefault="00477D6A" w:rsidP="00C0799F">
            <w:pPr>
              <w:ind w:right="175"/>
              <w:jc w:val="both"/>
              <w:rPr>
                <w:rFonts w:cs="Arial"/>
                <w:sz w:val="24"/>
                <w:szCs w:val="24"/>
              </w:rPr>
            </w:pPr>
          </w:p>
          <w:p w:rsidR="00234BA1" w:rsidRPr="00F53082" w:rsidRDefault="00234BA1" w:rsidP="00C0799F">
            <w:pPr>
              <w:ind w:right="175"/>
              <w:jc w:val="both"/>
              <w:rPr>
                <w:rFonts w:ascii="Calibri" w:hAnsi="Calibri" w:cs="Calibri"/>
                <w:color w:val="000000"/>
              </w:rPr>
            </w:pPr>
            <w:r w:rsidRPr="00F53082">
              <w:rPr>
                <w:rFonts w:ascii="Calibri" w:hAnsi="Calibri" w:cs="Calibri"/>
                <w:color w:val="000000"/>
              </w:rPr>
              <w:t>This policy is to be reviewed in conjunction with the Insulin Pump – Service Specification document attached below:</w:t>
            </w:r>
          </w:p>
          <w:p w:rsidR="00234BA1" w:rsidRDefault="00234BA1" w:rsidP="00C0799F">
            <w:pPr>
              <w:ind w:right="175"/>
              <w:jc w:val="both"/>
              <w:rPr>
                <w:rFonts w:cs="Arial"/>
                <w:sz w:val="24"/>
                <w:szCs w:val="24"/>
              </w:rPr>
            </w:pPr>
          </w:p>
          <w:bookmarkStart w:id="0" w:name="_MON_1603781305"/>
          <w:bookmarkEnd w:id="0"/>
          <w:p w:rsidR="00234BA1" w:rsidRPr="00F44BEA" w:rsidRDefault="003A10DE" w:rsidP="00C0799F">
            <w:pPr>
              <w:ind w:right="175"/>
              <w:jc w:val="both"/>
              <w:rPr>
                <w:rFonts w:cs="Arial"/>
                <w:sz w:val="24"/>
                <w:szCs w:val="24"/>
              </w:rPr>
            </w:pPr>
            <w:r>
              <w:rPr>
                <w:rFonts w:cs="Arial"/>
                <w:sz w:val="24"/>
                <w:szCs w:val="24"/>
              </w:rPr>
              <w:object w:dxaOrig="1530" w:dyaOrig="990" w14:anchorId="691E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3" o:title=""/>
                </v:shape>
                <o:OLEObject Type="Embed" ProgID="Word.Document.12" ShapeID="_x0000_i1025" DrawAspect="Icon" ObjectID="_1641800489" r:id="rId14">
                  <o:FieldCodes>\s</o:FieldCodes>
                </o:OLEObject>
              </w:object>
            </w:r>
          </w:p>
        </w:tc>
      </w:tr>
      <w:tr w:rsidR="00125242" w:rsidRPr="001E2729" w:rsidTr="00B837BF">
        <w:trPr>
          <w:trHeight w:val="895"/>
        </w:trPr>
        <w:tc>
          <w:tcPr>
            <w:tcW w:w="1526" w:type="dxa"/>
          </w:tcPr>
          <w:p w:rsidR="00125242" w:rsidRPr="00F44BEA" w:rsidRDefault="00125242" w:rsidP="00125242">
            <w:pPr>
              <w:pStyle w:val="Default"/>
              <w:rPr>
                <w:rFonts w:asciiTheme="minorHAnsi" w:hAnsiTheme="minorHAnsi"/>
                <w:b/>
              </w:rPr>
            </w:pPr>
            <w:r w:rsidRPr="00F44BEA">
              <w:rPr>
                <w:rFonts w:asciiTheme="minorHAnsi" w:hAnsiTheme="minorHAnsi"/>
                <w:b/>
                <w:bCs/>
              </w:rPr>
              <w:t xml:space="preserve">Evidence for inclusion and threshold </w:t>
            </w:r>
          </w:p>
          <w:p w:rsidR="00125242" w:rsidRPr="00F44BEA" w:rsidRDefault="00125242" w:rsidP="001713B7">
            <w:pPr>
              <w:rPr>
                <w:rFonts w:cs="Arial"/>
                <w:b/>
                <w:sz w:val="24"/>
                <w:szCs w:val="24"/>
              </w:rPr>
            </w:pPr>
          </w:p>
        </w:tc>
        <w:tc>
          <w:tcPr>
            <w:tcW w:w="8505" w:type="dxa"/>
          </w:tcPr>
          <w:p w:rsidR="00234BA1" w:rsidRDefault="00234BA1" w:rsidP="00234BA1">
            <w:pPr>
              <w:pStyle w:val="ListParagraph"/>
              <w:numPr>
                <w:ilvl w:val="0"/>
                <w:numId w:val="10"/>
              </w:numPr>
              <w:contextualSpacing w:val="0"/>
            </w:pPr>
            <w:r w:rsidRPr="00D976BF">
              <w:t>NICE. Technology Appraisal 151.  Continuous Subcutaneous Insulin infusion for the Treatment of Diabete</w:t>
            </w:r>
            <w:r>
              <w:t xml:space="preserve">s Mellitus. 2008.  Available at: </w:t>
            </w:r>
            <w:hyperlink r:id="rId15" w:history="1">
              <w:r w:rsidRPr="00D976BF">
                <w:t>https://www.nice.org.uk/guidance/ta151</w:t>
              </w:r>
            </w:hyperlink>
          </w:p>
          <w:p w:rsidR="00234BA1" w:rsidRDefault="00234BA1" w:rsidP="00234BA1">
            <w:pPr>
              <w:pStyle w:val="ListParagraph"/>
            </w:pPr>
          </w:p>
          <w:p w:rsidR="00234BA1" w:rsidRDefault="00234BA1" w:rsidP="00234BA1">
            <w:pPr>
              <w:pStyle w:val="ListParagraph"/>
              <w:numPr>
                <w:ilvl w:val="0"/>
                <w:numId w:val="10"/>
              </w:numPr>
              <w:contextualSpacing w:val="0"/>
              <w:rPr>
                <w:lang w:eastAsia="en-GB"/>
              </w:rPr>
            </w:pPr>
            <w:r w:rsidRPr="00A90266">
              <w:t xml:space="preserve">NICE Guideline [NG] 3.  Diabetes in pregnancy: management from preconception to the postnatal period. </w:t>
            </w:r>
            <w:r>
              <w:t xml:space="preserve">2015.  Available at: </w:t>
            </w:r>
            <w:hyperlink r:id="rId16" w:history="1">
              <w:r w:rsidRPr="00A90266">
                <w:t>https://www.nice.org.uk/guidance/ng3</w:t>
              </w:r>
            </w:hyperlink>
          </w:p>
          <w:p w:rsidR="00234BA1" w:rsidRDefault="00234BA1" w:rsidP="00234BA1">
            <w:pPr>
              <w:pStyle w:val="ListParagraph"/>
              <w:rPr>
                <w:lang w:eastAsia="en-GB"/>
              </w:rPr>
            </w:pPr>
          </w:p>
          <w:p w:rsidR="00234BA1" w:rsidRDefault="00234BA1" w:rsidP="00234BA1">
            <w:pPr>
              <w:pStyle w:val="ListParagraph"/>
              <w:numPr>
                <w:ilvl w:val="0"/>
                <w:numId w:val="10"/>
              </w:numPr>
              <w:contextualSpacing w:val="0"/>
              <w:rPr>
                <w:lang w:eastAsia="en-GB"/>
              </w:rPr>
            </w:pPr>
            <w:r w:rsidRPr="00A90266">
              <w:rPr>
                <w:lang w:eastAsia="en-GB"/>
              </w:rPr>
              <w:t xml:space="preserve">NICE Guideline [NG] 18. Diabetes (type 1 and type 2) in children and young people: diagnosis and management.  2015 (updated 2016).  </w:t>
            </w:r>
            <w:r>
              <w:rPr>
                <w:lang w:eastAsia="en-GB"/>
              </w:rPr>
              <w:t xml:space="preserve">Available at: </w:t>
            </w:r>
            <w:hyperlink r:id="rId17" w:history="1">
              <w:r w:rsidRPr="00A90266">
                <w:rPr>
                  <w:lang w:eastAsia="en-GB"/>
                </w:rPr>
                <w:t>https://www.nice.org.uk/guidance/ng18</w:t>
              </w:r>
            </w:hyperlink>
          </w:p>
          <w:p w:rsidR="00234BA1" w:rsidRDefault="00234BA1" w:rsidP="00234BA1">
            <w:pPr>
              <w:pStyle w:val="ListParagraph"/>
              <w:rPr>
                <w:lang w:eastAsia="en-GB"/>
              </w:rPr>
            </w:pPr>
          </w:p>
          <w:p w:rsidR="00234BA1" w:rsidRDefault="00234BA1" w:rsidP="00234BA1">
            <w:pPr>
              <w:pStyle w:val="ListParagraph"/>
              <w:numPr>
                <w:ilvl w:val="0"/>
                <w:numId w:val="10"/>
              </w:numPr>
              <w:contextualSpacing w:val="0"/>
              <w:rPr>
                <w:lang w:eastAsia="en-GB"/>
              </w:rPr>
            </w:pPr>
            <w:r>
              <w:rPr>
                <w:lang w:eastAsia="en-GB"/>
              </w:rPr>
              <w:t>D</w:t>
            </w:r>
            <w:r w:rsidRPr="00A90266">
              <w:rPr>
                <w:lang w:eastAsia="en-GB"/>
              </w:rPr>
              <w:t>epartment of Health, Child Health and Maternity Services Branch. Transition: getting it right for young people. Improving the transition o</w:t>
            </w:r>
            <w:r>
              <w:rPr>
                <w:lang w:eastAsia="en-GB"/>
              </w:rPr>
              <w:t xml:space="preserve">f young people with </w:t>
            </w:r>
            <w:r w:rsidRPr="00A90266">
              <w:rPr>
                <w:lang w:eastAsia="en-GB"/>
              </w:rPr>
              <w:t>long term</w:t>
            </w:r>
            <w:r>
              <w:rPr>
                <w:lang w:eastAsia="en-GB"/>
              </w:rPr>
              <w:t xml:space="preserve">, </w:t>
            </w:r>
            <w:r w:rsidRPr="00A90266">
              <w:rPr>
                <w:lang w:eastAsia="en-GB"/>
              </w:rPr>
              <w:t xml:space="preserve">conditions from children's to adult health </w:t>
            </w:r>
            <w:r>
              <w:rPr>
                <w:lang w:eastAsia="en-GB"/>
              </w:rPr>
              <w:t xml:space="preserve">services (2006).  Available at: </w:t>
            </w:r>
            <w:hyperlink r:id="rId18" w:history="1">
              <w:r w:rsidRPr="00A90266">
                <w:rPr>
                  <w:lang w:eastAsia="en-GB"/>
                </w:rPr>
                <w:t>http://webarchive.nationalarchives.gov.uk/20130123205838/http://www.dh.gov.uk/en/Publicationsandstatistics/Publications/PublicationsPolicyAndGuidance/DH_4132145</w:t>
              </w:r>
            </w:hyperlink>
          </w:p>
          <w:p w:rsidR="00234BA1" w:rsidRDefault="00234BA1" w:rsidP="00234BA1">
            <w:pPr>
              <w:pStyle w:val="ListParagraph"/>
              <w:rPr>
                <w:lang w:eastAsia="en-GB"/>
              </w:rPr>
            </w:pPr>
          </w:p>
          <w:p w:rsidR="00234BA1" w:rsidRDefault="00234BA1" w:rsidP="00234BA1">
            <w:pPr>
              <w:pStyle w:val="ListParagraph"/>
              <w:numPr>
                <w:ilvl w:val="0"/>
                <w:numId w:val="10"/>
              </w:numPr>
              <w:contextualSpacing w:val="0"/>
              <w:rPr>
                <w:lang w:eastAsia="en-GB"/>
              </w:rPr>
            </w:pPr>
            <w:r w:rsidRPr="00A90266">
              <w:rPr>
                <w:lang w:eastAsia="en-GB"/>
              </w:rPr>
              <w:t xml:space="preserve">Pickup J.  Insulin pumps. </w:t>
            </w:r>
            <w:proofErr w:type="spellStart"/>
            <w:r w:rsidRPr="00A90266">
              <w:rPr>
                <w:lang w:eastAsia="en-GB"/>
              </w:rPr>
              <w:t>Int</w:t>
            </w:r>
            <w:proofErr w:type="spellEnd"/>
            <w:r w:rsidRPr="00A90266">
              <w:rPr>
                <w:lang w:eastAsia="en-GB"/>
              </w:rPr>
              <w:t xml:space="preserve"> J </w:t>
            </w:r>
            <w:proofErr w:type="spellStart"/>
            <w:r w:rsidRPr="00A90266">
              <w:rPr>
                <w:lang w:eastAsia="en-GB"/>
              </w:rPr>
              <w:t>Clin</w:t>
            </w:r>
            <w:proofErr w:type="spellEnd"/>
            <w:r w:rsidRPr="00A90266">
              <w:rPr>
                <w:lang w:eastAsia="en-GB"/>
              </w:rPr>
              <w:t xml:space="preserve"> </w:t>
            </w:r>
            <w:proofErr w:type="spellStart"/>
            <w:r w:rsidRPr="00A90266">
              <w:rPr>
                <w:lang w:eastAsia="en-GB"/>
              </w:rPr>
              <w:t>Pract</w:t>
            </w:r>
            <w:proofErr w:type="spellEnd"/>
            <w:r w:rsidRPr="00A90266">
              <w:rPr>
                <w:lang w:eastAsia="en-GB"/>
              </w:rPr>
              <w:t xml:space="preserve"> Suppl 2011; 170: 16.</w:t>
            </w:r>
          </w:p>
          <w:p w:rsidR="00234BA1" w:rsidRDefault="00234BA1" w:rsidP="00234BA1">
            <w:pPr>
              <w:pStyle w:val="ListParagraph"/>
            </w:pPr>
          </w:p>
          <w:p w:rsidR="00234BA1" w:rsidRDefault="00234BA1" w:rsidP="00234BA1">
            <w:pPr>
              <w:pStyle w:val="ListParagraph"/>
              <w:numPr>
                <w:ilvl w:val="0"/>
                <w:numId w:val="10"/>
              </w:numPr>
              <w:contextualSpacing w:val="0"/>
              <w:rPr>
                <w:lang w:eastAsia="en-GB"/>
              </w:rPr>
            </w:pPr>
            <w:r w:rsidRPr="00A90266">
              <w:t>White HD et al.  The United Kingdom service level audit of insulin pump therapy in adults.  Diabet Med 2014; 31 (4) 412-8.</w:t>
            </w:r>
          </w:p>
          <w:p w:rsidR="00234BA1" w:rsidRDefault="00234BA1" w:rsidP="00234BA1">
            <w:pPr>
              <w:pStyle w:val="ListParagraph"/>
              <w:rPr>
                <w:lang w:eastAsia="en-GB"/>
              </w:rPr>
            </w:pPr>
          </w:p>
          <w:p w:rsidR="00234BA1" w:rsidRDefault="00234BA1" w:rsidP="00234BA1">
            <w:pPr>
              <w:pStyle w:val="ListParagraph"/>
              <w:numPr>
                <w:ilvl w:val="0"/>
                <w:numId w:val="10"/>
              </w:numPr>
              <w:contextualSpacing w:val="0"/>
              <w:rPr>
                <w:lang w:eastAsia="en-GB"/>
              </w:rPr>
            </w:pPr>
            <w:r w:rsidRPr="00A90266">
              <w:rPr>
                <w:lang w:eastAsia="en-GB"/>
              </w:rPr>
              <w:t xml:space="preserve">Ghatak A et al.  </w:t>
            </w:r>
            <w:hyperlink r:id="rId19" w:history="1">
              <w:r w:rsidRPr="00A90266">
                <w:rPr>
                  <w:lang w:eastAsia="en-GB"/>
                </w:rPr>
                <w:t>UK service level audit of insulin pump therapy in paediatrics.</w:t>
              </w:r>
            </w:hyperlink>
            <w:r w:rsidRPr="00A90266">
              <w:rPr>
                <w:lang w:eastAsia="en-GB"/>
              </w:rPr>
              <w:t xml:space="preserve">  Diabet Med 2015; 32(12):1652-7. </w:t>
            </w:r>
          </w:p>
          <w:p w:rsidR="00234BA1" w:rsidRDefault="00234BA1" w:rsidP="00234BA1">
            <w:pPr>
              <w:pStyle w:val="ListParagraph"/>
              <w:rPr>
                <w:lang w:eastAsia="en-GB"/>
              </w:rPr>
            </w:pPr>
          </w:p>
          <w:p w:rsidR="00234BA1" w:rsidRDefault="00234BA1" w:rsidP="00234BA1">
            <w:pPr>
              <w:pStyle w:val="ListParagraph"/>
              <w:numPr>
                <w:ilvl w:val="0"/>
                <w:numId w:val="10"/>
              </w:numPr>
              <w:contextualSpacing w:val="0"/>
              <w:rPr>
                <w:lang w:eastAsia="en-GB"/>
              </w:rPr>
            </w:pPr>
            <w:r w:rsidRPr="00A90266">
              <w:rPr>
                <w:lang w:eastAsia="en-GB"/>
              </w:rPr>
              <w:t xml:space="preserve">The National Diabetes Audit Insulin Pump Report 2015-16 (Published July 2017).  Available at </w:t>
            </w:r>
            <w:hyperlink r:id="rId20" w:history="1">
              <w:r w:rsidRPr="00A90266">
                <w:rPr>
                  <w:lang w:eastAsia="en-GB"/>
                </w:rPr>
                <w:t>https://www.digital.nhs.uk/catalogue/pub30027</w:t>
              </w:r>
            </w:hyperlink>
          </w:p>
          <w:p w:rsidR="00234BA1" w:rsidRDefault="00234BA1" w:rsidP="00234BA1">
            <w:pPr>
              <w:pStyle w:val="ListParagraph"/>
              <w:rPr>
                <w:lang w:eastAsia="en-GB"/>
              </w:rPr>
            </w:pPr>
          </w:p>
          <w:p w:rsidR="00234BA1" w:rsidRDefault="00234BA1" w:rsidP="00234BA1">
            <w:pPr>
              <w:pStyle w:val="ListParagraph"/>
              <w:numPr>
                <w:ilvl w:val="0"/>
                <w:numId w:val="10"/>
              </w:numPr>
              <w:contextualSpacing w:val="0"/>
              <w:rPr>
                <w:lang w:eastAsia="en-GB"/>
              </w:rPr>
            </w:pPr>
            <w:r w:rsidRPr="00A90266">
              <w:rPr>
                <w:lang w:eastAsia="en-GB"/>
              </w:rPr>
              <w:t xml:space="preserve">NICE Guideline [NG] 17.  Type 1 diabetes in adults: diagnosis and management. 2015 (updated 2016).  Available at </w:t>
            </w:r>
            <w:hyperlink r:id="rId21" w:history="1">
              <w:r w:rsidR="00EA3C18" w:rsidRPr="00D571A7">
                <w:rPr>
                  <w:rStyle w:val="Hyperlink"/>
                  <w:lang w:eastAsia="en-GB"/>
                </w:rPr>
                <w:t>https://www.nice.org.uk/guidance/NG17</w:t>
              </w:r>
            </w:hyperlink>
          </w:p>
          <w:p w:rsidR="00EA3C18" w:rsidRDefault="00EA3C18" w:rsidP="00EA3C18">
            <w:pPr>
              <w:pStyle w:val="ListParagraph"/>
              <w:rPr>
                <w:lang w:eastAsia="en-GB"/>
              </w:rPr>
            </w:pPr>
          </w:p>
          <w:p w:rsidR="00EA3C18" w:rsidRDefault="004D6235" w:rsidP="00234BA1">
            <w:pPr>
              <w:pStyle w:val="ListParagraph"/>
              <w:numPr>
                <w:ilvl w:val="0"/>
                <w:numId w:val="10"/>
              </w:numPr>
              <w:contextualSpacing w:val="0"/>
              <w:rPr>
                <w:lang w:eastAsia="en-GB"/>
              </w:rPr>
            </w:pPr>
            <w:r>
              <w:rPr>
                <w:lang w:eastAsia="en-GB"/>
              </w:rPr>
              <w:t>Moran A et al. The CFRD guidelines committee</w:t>
            </w:r>
            <w:r w:rsidR="00721F14">
              <w:rPr>
                <w:lang w:eastAsia="en-GB"/>
              </w:rPr>
              <w:t>. Clinical care guidelines for cystic</w:t>
            </w:r>
            <w:r w:rsidR="00D3458C">
              <w:rPr>
                <w:lang w:eastAsia="en-GB"/>
              </w:rPr>
              <w:t xml:space="preserve"> </w:t>
            </w:r>
            <w:r w:rsidR="00721F14">
              <w:rPr>
                <w:lang w:eastAsia="en-GB"/>
              </w:rPr>
              <w:t>fibrosis-related diabetes. Diabetes Care 2010</w:t>
            </w:r>
            <w:r w:rsidR="00D3458C">
              <w:rPr>
                <w:lang w:eastAsia="en-GB"/>
              </w:rPr>
              <w:t>; 33: 2697-2708.</w:t>
            </w:r>
          </w:p>
          <w:p w:rsidR="00234BA1" w:rsidRDefault="00234BA1" w:rsidP="00234BA1">
            <w:pPr>
              <w:pStyle w:val="ListParagraph"/>
              <w:rPr>
                <w:lang w:eastAsia="en-GB"/>
              </w:rPr>
            </w:pPr>
          </w:p>
          <w:p w:rsidR="0002469B" w:rsidRPr="0002469B" w:rsidRDefault="00234BA1" w:rsidP="004E5F9D">
            <w:pPr>
              <w:pStyle w:val="ListParagraph"/>
              <w:numPr>
                <w:ilvl w:val="0"/>
                <w:numId w:val="10"/>
              </w:numPr>
              <w:contextualSpacing w:val="0"/>
              <w:rPr>
                <w:bCs/>
                <w:color w:val="FF0000"/>
              </w:rPr>
            </w:pPr>
            <w:r w:rsidRPr="00A90266">
              <w:rPr>
                <w:lang w:eastAsia="en-GB"/>
              </w:rPr>
              <w:t>The Diabetes Control; Complications Tr</w:t>
            </w:r>
            <w:r>
              <w:rPr>
                <w:lang w:eastAsia="en-GB"/>
              </w:rPr>
              <w:t>ial Research Group. (1993).</w:t>
            </w:r>
            <w:r w:rsidRPr="00A90266">
              <w:rPr>
                <w:lang w:eastAsia="en-GB"/>
              </w:rPr>
              <w:t>The effect of intensive treatment of diabetes on the development and progression of long-term complications in insulin</w:t>
            </w:r>
            <w:r w:rsidR="007C33F1">
              <w:rPr>
                <w:lang w:eastAsia="en-GB"/>
              </w:rPr>
              <w:t>-</w:t>
            </w:r>
            <w:r w:rsidRPr="00A90266">
              <w:rPr>
                <w:lang w:eastAsia="en-GB"/>
              </w:rPr>
              <w:t>-dependent diabetes mellitus. N Engl J Med 1993; 329 (14): 977–86.</w:t>
            </w:r>
          </w:p>
        </w:tc>
      </w:tr>
    </w:tbl>
    <w:p w:rsidR="00B16B78" w:rsidRPr="00B16B78" w:rsidRDefault="00B16B78" w:rsidP="004E5F9D">
      <w:pPr>
        <w:rPr>
          <w:rFonts w:ascii="Arial" w:hAnsi="Arial" w:cs="Arial"/>
          <w:b/>
        </w:rPr>
      </w:pPr>
    </w:p>
    <w:sectPr w:rsidR="00B16B78" w:rsidRPr="00B16B78">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4F" w:rsidRDefault="0012194F" w:rsidP="008B03CD">
      <w:pPr>
        <w:spacing w:after="0" w:line="240" w:lineRule="auto"/>
      </w:pPr>
      <w:r>
        <w:separator/>
      </w:r>
    </w:p>
  </w:endnote>
  <w:endnote w:type="continuationSeparator" w:id="0">
    <w:p w:rsidR="0012194F" w:rsidRDefault="0012194F" w:rsidP="008B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4F" w:rsidRDefault="0012194F" w:rsidP="008B03CD">
      <w:pPr>
        <w:spacing w:after="0" w:line="240" w:lineRule="auto"/>
      </w:pPr>
      <w:r>
        <w:separator/>
      </w:r>
    </w:p>
  </w:footnote>
  <w:footnote w:type="continuationSeparator" w:id="0">
    <w:p w:rsidR="0012194F" w:rsidRDefault="0012194F" w:rsidP="008B0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CD" w:rsidRDefault="00E03BA6" w:rsidP="0043711A">
    <w:pPr>
      <w:pStyle w:val="Header"/>
      <w:tabs>
        <w:tab w:val="clear" w:pos="4513"/>
      </w:tabs>
    </w:pPr>
    <w:r>
      <w:rPr>
        <w:noProof/>
        <w:lang w:eastAsia="en-GB"/>
      </w:rPr>
      <w:drawing>
        <wp:anchor distT="0" distB="0" distL="114300" distR="114300" simplePos="0" relativeHeight="251660288" behindDoc="1" locked="0" layoutInCell="1" allowOverlap="1" wp14:anchorId="0581B518" wp14:editId="5C0D103A">
          <wp:simplePos x="0" y="0"/>
          <wp:positionH relativeFrom="column">
            <wp:posOffset>4834255</wp:posOffset>
          </wp:positionH>
          <wp:positionV relativeFrom="paragraph">
            <wp:posOffset>-386080</wp:posOffset>
          </wp:positionV>
          <wp:extent cx="1732915" cy="770890"/>
          <wp:effectExtent l="0" t="0" r="635" b="0"/>
          <wp:wrapTight wrapText="bothSides">
            <wp:wrapPolygon edited="0">
              <wp:start x="0" y="0"/>
              <wp:lineTo x="0" y="20817"/>
              <wp:lineTo x="21370" y="20817"/>
              <wp:lineTo x="21370" y="0"/>
              <wp:lineTo x="0" y="0"/>
            </wp:wrapPolygon>
          </wp:wrapTight>
          <wp:docPr id="3" name="Picture 3" descr="Nwcs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cscn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741" r="8571" b="13200"/>
                  <a:stretch/>
                </pic:blipFill>
                <pic:spPr bwMode="auto">
                  <a:xfrm>
                    <a:off x="0" y="0"/>
                    <a:ext cx="173291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C347398" wp14:editId="034393BF">
          <wp:simplePos x="0" y="0"/>
          <wp:positionH relativeFrom="page">
            <wp:posOffset>238125</wp:posOffset>
          </wp:positionH>
          <wp:positionV relativeFrom="page">
            <wp:posOffset>109855</wp:posOffset>
          </wp:positionV>
          <wp:extent cx="721995" cy="721995"/>
          <wp:effectExtent l="0" t="0" r="1905" b="190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1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288"/>
    <w:multiLevelType w:val="hybridMultilevel"/>
    <w:tmpl w:val="97CE4E8E"/>
    <w:lvl w:ilvl="0" w:tplc="1574845A">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676B4F"/>
    <w:multiLevelType w:val="hybridMultilevel"/>
    <w:tmpl w:val="EB4C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C77FC"/>
    <w:multiLevelType w:val="hybridMultilevel"/>
    <w:tmpl w:val="9BFC922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18327A75"/>
    <w:multiLevelType w:val="hybridMultilevel"/>
    <w:tmpl w:val="4A6463E4"/>
    <w:lvl w:ilvl="0" w:tplc="3D4CE1E0">
      <w:start w:val="1"/>
      <w:numFmt w:val="bullet"/>
      <w:lvlText w:val=""/>
      <w:lvlJc w:val="left"/>
      <w:pPr>
        <w:tabs>
          <w:tab w:val="num" w:pos="170"/>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E666F6"/>
    <w:multiLevelType w:val="hybridMultilevel"/>
    <w:tmpl w:val="6902F78E"/>
    <w:lvl w:ilvl="0" w:tplc="3D4CE1E0">
      <w:start w:val="1"/>
      <w:numFmt w:val="bullet"/>
      <w:lvlText w:val=""/>
      <w:lvlJc w:val="left"/>
      <w:pPr>
        <w:tabs>
          <w:tab w:val="num" w:pos="170"/>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C32F4A"/>
    <w:multiLevelType w:val="multilevel"/>
    <w:tmpl w:val="ACF6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A3166"/>
    <w:multiLevelType w:val="hybridMultilevel"/>
    <w:tmpl w:val="2488D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F6133E"/>
    <w:multiLevelType w:val="multilevel"/>
    <w:tmpl w:val="B3C6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pStyle w:val="Heading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D2CDB"/>
    <w:multiLevelType w:val="hybridMultilevel"/>
    <w:tmpl w:val="07B0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4B4078"/>
    <w:multiLevelType w:val="multilevel"/>
    <w:tmpl w:val="0D6C2E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C76BDA"/>
    <w:multiLevelType w:val="hybridMultilevel"/>
    <w:tmpl w:val="EFA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F93E9E"/>
    <w:multiLevelType w:val="hybridMultilevel"/>
    <w:tmpl w:val="FE14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3C53C3"/>
    <w:multiLevelType w:val="hybridMultilevel"/>
    <w:tmpl w:val="5842387A"/>
    <w:lvl w:ilvl="0" w:tplc="3D4CE1E0">
      <w:start w:val="1"/>
      <w:numFmt w:val="bullet"/>
      <w:lvlText w:val=""/>
      <w:lvlJc w:val="left"/>
      <w:pPr>
        <w:tabs>
          <w:tab w:val="num" w:pos="170"/>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F592772"/>
    <w:multiLevelType w:val="multilevel"/>
    <w:tmpl w:val="019E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1105BE"/>
    <w:multiLevelType w:val="hybridMultilevel"/>
    <w:tmpl w:val="D34A491E"/>
    <w:lvl w:ilvl="0" w:tplc="3D4CE1E0">
      <w:start w:val="1"/>
      <w:numFmt w:val="bullet"/>
      <w:lvlText w:val=""/>
      <w:lvlJc w:val="left"/>
      <w:pPr>
        <w:tabs>
          <w:tab w:val="num" w:pos="170"/>
        </w:tabs>
        <w:ind w:left="22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B8B7872"/>
    <w:multiLevelType w:val="multilevel"/>
    <w:tmpl w:val="0EDC65F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800" w:hanging="72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D63D7"/>
    <w:multiLevelType w:val="hybridMultilevel"/>
    <w:tmpl w:val="02B430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C13BE"/>
    <w:multiLevelType w:val="multilevel"/>
    <w:tmpl w:val="90EE75E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1800" w:hanging="72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91076A"/>
    <w:multiLevelType w:val="hybridMultilevel"/>
    <w:tmpl w:val="4B2C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16"/>
  </w:num>
  <w:num w:numId="6">
    <w:abstractNumId w:val="11"/>
  </w:num>
  <w:num w:numId="7">
    <w:abstractNumId w:val="6"/>
  </w:num>
  <w:num w:numId="8">
    <w:abstractNumId w:val="14"/>
  </w:num>
  <w:num w:numId="9">
    <w:abstractNumId w:val="9"/>
  </w:num>
  <w:num w:numId="10">
    <w:abstractNumId w:val="17"/>
  </w:num>
  <w:num w:numId="11">
    <w:abstractNumId w:val="7"/>
  </w:num>
  <w:num w:numId="12">
    <w:abstractNumId w:val="13"/>
  </w:num>
  <w:num w:numId="13">
    <w:abstractNumId w:val="15"/>
  </w:num>
  <w:num w:numId="14">
    <w:abstractNumId w:val="5"/>
  </w:num>
  <w:num w:numId="15">
    <w:abstractNumId w:val="3"/>
  </w:num>
  <w:num w:numId="16">
    <w:abstractNumId w:val="12"/>
  </w:num>
  <w:num w:numId="17">
    <w:abstractNumId w:val="4"/>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13"/>
    <w:rsid w:val="0002424D"/>
    <w:rsid w:val="0002469B"/>
    <w:rsid w:val="000310FD"/>
    <w:rsid w:val="00037D38"/>
    <w:rsid w:val="00046BC6"/>
    <w:rsid w:val="000521F5"/>
    <w:rsid w:val="000A382B"/>
    <w:rsid w:val="000B6D16"/>
    <w:rsid w:val="000C58A9"/>
    <w:rsid w:val="000D48BD"/>
    <w:rsid w:val="000D6350"/>
    <w:rsid w:val="000E4908"/>
    <w:rsid w:val="0012194F"/>
    <w:rsid w:val="00125242"/>
    <w:rsid w:val="0012753E"/>
    <w:rsid w:val="00136A4B"/>
    <w:rsid w:val="00156DA1"/>
    <w:rsid w:val="001575B1"/>
    <w:rsid w:val="001666B2"/>
    <w:rsid w:val="00184A31"/>
    <w:rsid w:val="001E2729"/>
    <w:rsid w:val="001F312A"/>
    <w:rsid w:val="001F406B"/>
    <w:rsid w:val="00201C3F"/>
    <w:rsid w:val="00203A96"/>
    <w:rsid w:val="00206D13"/>
    <w:rsid w:val="00234BA1"/>
    <w:rsid w:val="00242964"/>
    <w:rsid w:val="002478E4"/>
    <w:rsid w:val="002824B3"/>
    <w:rsid w:val="002837D4"/>
    <w:rsid w:val="002D2B03"/>
    <w:rsid w:val="002E0169"/>
    <w:rsid w:val="002F45EF"/>
    <w:rsid w:val="00331A1C"/>
    <w:rsid w:val="00332C0D"/>
    <w:rsid w:val="0034318E"/>
    <w:rsid w:val="00343F25"/>
    <w:rsid w:val="003575E1"/>
    <w:rsid w:val="00373C39"/>
    <w:rsid w:val="003856BF"/>
    <w:rsid w:val="003A10DE"/>
    <w:rsid w:val="003C7C0A"/>
    <w:rsid w:val="003D2003"/>
    <w:rsid w:val="003F65BA"/>
    <w:rsid w:val="00413C18"/>
    <w:rsid w:val="00424B4C"/>
    <w:rsid w:val="0042675A"/>
    <w:rsid w:val="004336D9"/>
    <w:rsid w:val="0043711A"/>
    <w:rsid w:val="00437875"/>
    <w:rsid w:val="004477DA"/>
    <w:rsid w:val="00477D6A"/>
    <w:rsid w:val="004D6235"/>
    <w:rsid w:val="004E3790"/>
    <w:rsid w:val="004E5F9D"/>
    <w:rsid w:val="004F531E"/>
    <w:rsid w:val="004F578D"/>
    <w:rsid w:val="00506219"/>
    <w:rsid w:val="00510C0E"/>
    <w:rsid w:val="00545E7E"/>
    <w:rsid w:val="005476D6"/>
    <w:rsid w:val="0056179C"/>
    <w:rsid w:val="00606260"/>
    <w:rsid w:val="006462B2"/>
    <w:rsid w:val="00672454"/>
    <w:rsid w:val="006760C3"/>
    <w:rsid w:val="006A7D9F"/>
    <w:rsid w:val="006B6DCA"/>
    <w:rsid w:val="00721F14"/>
    <w:rsid w:val="00774E45"/>
    <w:rsid w:val="0079206D"/>
    <w:rsid w:val="007A4324"/>
    <w:rsid w:val="007C33F1"/>
    <w:rsid w:val="008316B2"/>
    <w:rsid w:val="008318B3"/>
    <w:rsid w:val="00880413"/>
    <w:rsid w:val="008911D2"/>
    <w:rsid w:val="00896E25"/>
    <w:rsid w:val="008B03CD"/>
    <w:rsid w:val="008F50FD"/>
    <w:rsid w:val="00935E32"/>
    <w:rsid w:val="00940BA0"/>
    <w:rsid w:val="00963599"/>
    <w:rsid w:val="009B5F6E"/>
    <w:rsid w:val="009E6142"/>
    <w:rsid w:val="00A21360"/>
    <w:rsid w:val="00A31544"/>
    <w:rsid w:val="00A37553"/>
    <w:rsid w:val="00A431AD"/>
    <w:rsid w:val="00A634FF"/>
    <w:rsid w:val="00A81649"/>
    <w:rsid w:val="00AA1B7C"/>
    <w:rsid w:val="00AC461F"/>
    <w:rsid w:val="00AC5487"/>
    <w:rsid w:val="00AD60DA"/>
    <w:rsid w:val="00B05A7B"/>
    <w:rsid w:val="00B13E7F"/>
    <w:rsid w:val="00B16B78"/>
    <w:rsid w:val="00B24E7B"/>
    <w:rsid w:val="00B42E28"/>
    <w:rsid w:val="00B73271"/>
    <w:rsid w:val="00B75C7A"/>
    <w:rsid w:val="00B837BF"/>
    <w:rsid w:val="00B8396C"/>
    <w:rsid w:val="00B862B3"/>
    <w:rsid w:val="00BA3224"/>
    <w:rsid w:val="00BB1A64"/>
    <w:rsid w:val="00BC3E7F"/>
    <w:rsid w:val="00C05068"/>
    <w:rsid w:val="00C0799F"/>
    <w:rsid w:val="00CC1800"/>
    <w:rsid w:val="00CE573D"/>
    <w:rsid w:val="00D17D44"/>
    <w:rsid w:val="00D26DCE"/>
    <w:rsid w:val="00D3458C"/>
    <w:rsid w:val="00D73AB0"/>
    <w:rsid w:val="00D97A37"/>
    <w:rsid w:val="00DA3AA3"/>
    <w:rsid w:val="00DD5B53"/>
    <w:rsid w:val="00DD6E5B"/>
    <w:rsid w:val="00DF0EFE"/>
    <w:rsid w:val="00E03BA6"/>
    <w:rsid w:val="00E46175"/>
    <w:rsid w:val="00E52024"/>
    <w:rsid w:val="00E53266"/>
    <w:rsid w:val="00E80DD9"/>
    <w:rsid w:val="00EA3C18"/>
    <w:rsid w:val="00EB65D8"/>
    <w:rsid w:val="00EC0DE0"/>
    <w:rsid w:val="00EE2E35"/>
    <w:rsid w:val="00F03D9C"/>
    <w:rsid w:val="00F04FB5"/>
    <w:rsid w:val="00F44BEA"/>
    <w:rsid w:val="00F53082"/>
    <w:rsid w:val="00F54298"/>
    <w:rsid w:val="00F75B50"/>
    <w:rsid w:val="00F95CDA"/>
    <w:rsid w:val="00FA4335"/>
    <w:rsid w:val="00FF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6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3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aliases w:val="MCheading3"/>
    <w:basedOn w:val="Normal"/>
    <w:link w:val="Heading3Char"/>
    <w:qFormat/>
    <w:rsid w:val="00AA1B7C"/>
    <w:pPr>
      <w:keepNext/>
      <w:numPr>
        <w:ilvl w:val="2"/>
        <w:numId w:val="11"/>
      </w:numPr>
      <w:tabs>
        <w:tab w:val="left" w:pos="2592"/>
        <w:tab w:val="left" w:pos="3744"/>
        <w:tab w:val="left" w:pos="5184"/>
        <w:tab w:val="left" w:pos="6912"/>
      </w:tabs>
      <w:spacing w:before="120" w:after="0" w:line="240" w:lineRule="auto"/>
      <w:jc w:val="both"/>
      <w:outlineLvl w:val="2"/>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729"/>
    <w:pPr>
      <w:ind w:left="720"/>
      <w:contextualSpacing/>
    </w:pPr>
  </w:style>
  <w:style w:type="paragraph" w:styleId="Header">
    <w:name w:val="header"/>
    <w:basedOn w:val="Normal"/>
    <w:link w:val="HeaderChar"/>
    <w:uiPriority w:val="99"/>
    <w:unhideWhenUsed/>
    <w:rsid w:val="008B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CD"/>
  </w:style>
  <w:style w:type="paragraph" w:styleId="Footer">
    <w:name w:val="footer"/>
    <w:basedOn w:val="Normal"/>
    <w:link w:val="FooterChar"/>
    <w:uiPriority w:val="99"/>
    <w:unhideWhenUsed/>
    <w:rsid w:val="008B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CD"/>
  </w:style>
  <w:style w:type="paragraph" w:customStyle="1" w:styleId="Default">
    <w:name w:val="Default"/>
    <w:rsid w:val="00B16B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B16B78"/>
    <w:rPr>
      <w:color w:val="0000FF" w:themeColor="hyperlink"/>
      <w:u w:val="single"/>
    </w:rPr>
  </w:style>
  <w:style w:type="character" w:styleId="FollowedHyperlink">
    <w:name w:val="FollowedHyperlink"/>
    <w:basedOn w:val="DefaultParagraphFont"/>
    <w:uiPriority w:val="99"/>
    <w:semiHidden/>
    <w:unhideWhenUsed/>
    <w:rsid w:val="00672454"/>
    <w:rPr>
      <w:color w:val="800080" w:themeColor="followedHyperlink"/>
      <w:u w:val="single"/>
    </w:rPr>
  </w:style>
  <w:style w:type="character" w:customStyle="1" w:styleId="Heading1Char">
    <w:name w:val="Heading 1 Char"/>
    <w:basedOn w:val="DefaultParagraphFont"/>
    <w:link w:val="Heading1"/>
    <w:uiPriority w:val="9"/>
    <w:rsid w:val="00BC3E7F"/>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BC3E7F"/>
  </w:style>
  <w:style w:type="paragraph" w:styleId="NormalWeb">
    <w:name w:val="Normal (Web)"/>
    <w:basedOn w:val="Normal"/>
    <w:uiPriority w:val="99"/>
    <w:rsid w:val="00BC3E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837BF"/>
    <w:rPr>
      <w:sz w:val="16"/>
      <w:szCs w:val="16"/>
    </w:rPr>
  </w:style>
  <w:style w:type="paragraph" w:styleId="CommentText">
    <w:name w:val="annotation text"/>
    <w:basedOn w:val="Normal"/>
    <w:link w:val="CommentTextChar"/>
    <w:uiPriority w:val="99"/>
    <w:semiHidden/>
    <w:unhideWhenUsed/>
    <w:rsid w:val="00B837B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B837B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83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BF"/>
    <w:rPr>
      <w:rFonts w:ascii="Tahoma" w:hAnsi="Tahoma" w:cs="Tahoma"/>
      <w:sz w:val="16"/>
      <w:szCs w:val="16"/>
    </w:rPr>
  </w:style>
  <w:style w:type="character" w:customStyle="1" w:styleId="Heading3Char">
    <w:name w:val="Heading 3 Char"/>
    <w:aliases w:val="MCheading3 Char"/>
    <w:basedOn w:val="DefaultParagraphFont"/>
    <w:link w:val="Heading3"/>
    <w:rsid w:val="00AA1B7C"/>
    <w:rPr>
      <w:rFonts w:ascii="Arial" w:eastAsia="Times New Roman" w:hAnsi="Arial" w:cs="Arial"/>
      <w:sz w:val="20"/>
      <w:szCs w:val="20"/>
      <w:lang w:eastAsia="en-GB"/>
    </w:rPr>
  </w:style>
  <w:style w:type="paragraph" w:styleId="BodyText">
    <w:name w:val="Body Text"/>
    <w:basedOn w:val="Normal"/>
    <w:link w:val="BodyTextChar"/>
    <w:rsid w:val="00AA1B7C"/>
    <w:pPr>
      <w:spacing w:after="0" w:line="240" w:lineRule="auto"/>
    </w:pPr>
    <w:rPr>
      <w:rFonts w:ascii="Arial" w:eastAsia="Times New Roman" w:hAnsi="Arial" w:cs="Times New Roman"/>
    </w:rPr>
  </w:style>
  <w:style w:type="character" w:customStyle="1" w:styleId="BodyTextChar">
    <w:name w:val="Body Text Char"/>
    <w:basedOn w:val="DefaultParagraphFont"/>
    <w:link w:val="BodyText"/>
    <w:rsid w:val="00AA1B7C"/>
    <w:rPr>
      <w:rFonts w:ascii="Arial" w:eastAsia="Times New Roman" w:hAnsi="Arial" w:cs="Times New Roman"/>
    </w:rPr>
  </w:style>
  <w:style w:type="character" w:styleId="Strong">
    <w:name w:val="Strong"/>
    <w:qFormat/>
    <w:rsid w:val="00AA1B7C"/>
    <w:rPr>
      <w:rFonts w:cs="Times New Roman"/>
      <w:b/>
      <w:bCs/>
    </w:rPr>
  </w:style>
  <w:style w:type="paragraph" w:customStyle="1" w:styleId="schedule">
    <w:name w:val="schedule"/>
    <w:rsid w:val="00AA1B7C"/>
    <w:pPr>
      <w:widowControl w:val="0"/>
      <w:spacing w:after="0" w:line="240" w:lineRule="auto"/>
      <w:jc w:val="center"/>
    </w:pPr>
    <w:rPr>
      <w:rFonts w:ascii="Arial" w:eastAsia="Times New Roman" w:hAnsi="Arial" w:cs="Arial"/>
      <w:b/>
      <w:bCs/>
      <w:sz w:val="20"/>
      <w:szCs w:val="20"/>
      <w:lang w:eastAsia="en-GB"/>
    </w:rPr>
  </w:style>
  <w:style w:type="paragraph" w:styleId="CommentSubject">
    <w:name w:val="annotation subject"/>
    <w:basedOn w:val="CommentText"/>
    <w:next w:val="CommentText"/>
    <w:link w:val="CommentSubjectChar"/>
    <w:uiPriority w:val="99"/>
    <w:semiHidden/>
    <w:unhideWhenUsed/>
    <w:rsid w:val="005476D6"/>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476D6"/>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EA3C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3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aliases w:val="MCheading3"/>
    <w:basedOn w:val="Normal"/>
    <w:link w:val="Heading3Char"/>
    <w:qFormat/>
    <w:rsid w:val="00AA1B7C"/>
    <w:pPr>
      <w:keepNext/>
      <w:numPr>
        <w:ilvl w:val="2"/>
        <w:numId w:val="11"/>
      </w:numPr>
      <w:tabs>
        <w:tab w:val="left" w:pos="2592"/>
        <w:tab w:val="left" w:pos="3744"/>
        <w:tab w:val="left" w:pos="5184"/>
        <w:tab w:val="left" w:pos="6912"/>
      </w:tabs>
      <w:spacing w:before="120" w:after="0" w:line="240" w:lineRule="auto"/>
      <w:jc w:val="both"/>
      <w:outlineLvl w:val="2"/>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729"/>
    <w:pPr>
      <w:ind w:left="720"/>
      <w:contextualSpacing/>
    </w:pPr>
  </w:style>
  <w:style w:type="paragraph" w:styleId="Header">
    <w:name w:val="header"/>
    <w:basedOn w:val="Normal"/>
    <w:link w:val="HeaderChar"/>
    <w:uiPriority w:val="99"/>
    <w:unhideWhenUsed/>
    <w:rsid w:val="008B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CD"/>
  </w:style>
  <w:style w:type="paragraph" w:styleId="Footer">
    <w:name w:val="footer"/>
    <w:basedOn w:val="Normal"/>
    <w:link w:val="FooterChar"/>
    <w:uiPriority w:val="99"/>
    <w:unhideWhenUsed/>
    <w:rsid w:val="008B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CD"/>
  </w:style>
  <w:style w:type="paragraph" w:customStyle="1" w:styleId="Default">
    <w:name w:val="Default"/>
    <w:rsid w:val="00B16B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B16B78"/>
    <w:rPr>
      <w:color w:val="0000FF" w:themeColor="hyperlink"/>
      <w:u w:val="single"/>
    </w:rPr>
  </w:style>
  <w:style w:type="character" w:styleId="FollowedHyperlink">
    <w:name w:val="FollowedHyperlink"/>
    <w:basedOn w:val="DefaultParagraphFont"/>
    <w:uiPriority w:val="99"/>
    <w:semiHidden/>
    <w:unhideWhenUsed/>
    <w:rsid w:val="00672454"/>
    <w:rPr>
      <w:color w:val="800080" w:themeColor="followedHyperlink"/>
      <w:u w:val="single"/>
    </w:rPr>
  </w:style>
  <w:style w:type="character" w:customStyle="1" w:styleId="Heading1Char">
    <w:name w:val="Heading 1 Char"/>
    <w:basedOn w:val="DefaultParagraphFont"/>
    <w:link w:val="Heading1"/>
    <w:uiPriority w:val="9"/>
    <w:rsid w:val="00BC3E7F"/>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BC3E7F"/>
  </w:style>
  <w:style w:type="paragraph" w:styleId="NormalWeb">
    <w:name w:val="Normal (Web)"/>
    <w:basedOn w:val="Normal"/>
    <w:uiPriority w:val="99"/>
    <w:rsid w:val="00BC3E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837BF"/>
    <w:rPr>
      <w:sz w:val="16"/>
      <w:szCs w:val="16"/>
    </w:rPr>
  </w:style>
  <w:style w:type="paragraph" w:styleId="CommentText">
    <w:name w:val="annotation text"/>
    <w:basedOn w:val="Normal"/>
    <w:link w:val="CommentTextChar"/>
    <w:uiPriority w:val="99"/>
    <w:semiHidden/>
    <w:unhideWhenUsed/>
    <w:rsid w:val="00B837B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B837B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83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BF"/>
    <w:rPr>
      <w:rFonts w:ascii="Tahoma" w:hAnsi="Tahoma" w:cs="Tahoma"/>
      <w:sz w:val="16"/>
      <w:szCs w:val="16"/>
    </w:rPr>
  </w:style>
  <w:style w:type="character" w:customStyle="1" w:styleId="Heading3Char">
    <w:name w:val="Heading 3 Char"/>
    <w:aliases w:val="MCheading3 Char"/>
    <w:basedOn w:val="DefaultParagraphFont"/>
    <w:link w:val="Heading3"/>
    <w:rsid w:val="00AA1B7C"/>
    <w:rPr>
      <w:rFonts w:ascii="Arial" w:eastAsia="Times New Roman" w:hAnsi="Arial" w:cs="Arial"/>
      <w:sz w:val="20"/>
      <w:szCs w:val="20"/>
      <w:lang w:eastAsia="en-GB"/>
    </w:rPr>
  </w:style>
  <w:style w:type="paragraph" w:styleId="BodyText">
    <w:name w:val="Body Text"/>
    <w:basedOn w:val="Normal"/>
    <w:link w:val="BodyTextChar"/>
    <w:rsid w:val="00AA1B7C"/>
    <w:pPr>
      <w:spacing w:after="0" w:line="240" w:lineRule="auto"/>
    </w:pPr>
    <w:rPr>
      <w:rFonts w:ascii="Arial" w:eastAsia="Times New Roman" w:hAnsi="Arial" w:cs="Times New Roman"/>
    </w:rPr>
  </w:style>
  <w:style w:type="character" w:customStyle="1" w:styleId="BodyTextChar">
    <w:name w:val="Body Text Char"/>
    <w:basedOn w:val="DefaultParagraphFont"/>
    <w:link w:val="BodyText"/>
    <w:rsid w:val="00AA1B7C"/>
    <w:rPr>
      <w:rFonts w:ascii="Arial" w:eastAsia="Times New Roman" w:hAnsi="Arial" w:cs="Times New Roman"/>
    </w:rPr>
  </w:style>
  <w:style w:type="character" w:styleId="Strong">
    <w:name w:val="Strong"/>
    <w:qFormat/>
    <w:rsid w:val="00AA1B7C"/>
    <w:rPr>
      <w:rFonts w:cs="Times New Roman"/>
      <w:b/>
      <w:bCs/>
    </w:rPr>
  </w:style>
  <w:style w:type="paragraph" w:customStyle="1" w:styleId="schedule">
    <w:name w:val="schedule"/>
    <w:rsid w:val="00AA1B7C"/>
    <w:pPr>
      <w:widowControl w:val="0"/>
      <w:spacing w:after="0" w:line="240" w:lineRule="auto"/>
      <w:jc w:val="center"/>
    </w:pPr>
    <w:rPr>
      <w:rFonts w:ascii="Arial" w:eastAsia="Times New Roman" w:hAnsi="Arial" w:cs="Arial"/>
      <w:b/>
      <w:bCs/>
      <w:sz w:val="20"/>
      <w:szCs w:val="20"/>
      <w:lang w:eastAsia="en-GB"/>
    </w:rPr>
  </w:style>
  <w:style w:type="paragraph" w:styleId="CommentSubject">
    <w:name w:val="annotation subject"/>
    <w:basedOn w:val="CommentText"/>
    <w:next w:val="CommentText"/>
    <w:link w:val="CommentSubjectChar"/>
    <w:uiPriority w:val="99"/>
    <w:semiHidden/>
    <w:unhideWhenUsed/>
    <w:rsid w:val="005476D6"/>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476D6"/>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EA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255">
      <w:bodyDiv w:val="1"/>
      <w:marLeft w:val="0"/>
      <w:marRight w:val="0"/>
      <w:marTop w:val="0"/>
      <w:marBottom w:val="0"/>
      <w:divBdr>
        <w:top w:val="none" w:sz="0" w:space="0" w:color="auto"/>
        <w:left w:val="none" w:sz="0" w:space="0" w:color="auto"/>
        <w:bottom w:val="none" w:sz="0" w:space="0" w:color="auto"/>
        <w:right w:val="none" w:sz="0" w:space="0" w:color="auto"/>
      </w:divBdr>
    </w:div>
    <w:div w:id="1327322775">
      <w:bodyDiv w:val="1"/>
      <w:marLeft w:val="0"/>
      <w:marRight w:val="0"/>
      <w:marTop w:val="0"/>
      <w:marBottom w:val="0"/>
      <w:divBdr>
        <w:top w:val="none" w:sz="0" w:space="0" w:color="auto"/>
        <w:left w:val="none" w:sz="0" w:space="0" w:color="auto"/>
        <w:bottom w:val="none" w:sz="0" w:space="0" w:color="auto"/>
        <w:right w:val="none" w:sz="0" w:space="0" w:color="auto"/>
      </w:divBdr>
    </w:div>
    <w:div w:id="1341006779">
      <w:bodyDiv w:val="1"/>
      <w:marLeft w:val="0"/>
      <w:marRight w:val="0"/>
      <w:marTop w:val="0"/>
      <w:marBottom w:val="0"/>
      <w:divBdr>
        <w:top w:val="none" w:sz="0" w:space="0" w:color="auto"/>
        <w:left w:val="none" w:sz="0" w:space="0" w:color="auto"/>
        <w:bottom w:val="none" w:sz="0" w:space="0" w:color="auto"/>
        <w:right w:val="none" w:sz="0" w:space="0" w:color="auto"/>
      </w:divBdr>
    </w:div>
    <w:div w:id="16938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webarchive.nationalarchives.gov.uk/20130123205838/http://www.dh.gov.uk/en/Publicationsandstatistics/Publications/PublicationsPolicyAndGuidance/DH_4132145" TargetMode="External"/><Relationship Id="rId3" Type="http://schemas.openxmlformats.org/officeDocument/2006/relationships/customXml" Target="../customXml/item3.xml"/><Relationship Id="rId21" Type="http://schemas.openxmlformats.org/officeDocument/2006/relationships/hyperlink" Target="https://www.nice.org.uk/guidance/NG17"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nice.org.uk/guidance/ng18" TargetMode="External"/><Relationship Id="rId2" Type="http://schemas.openxmlformats.org/officeDocument/2006/relationships/customXml" Target="../customXml/item2.xml"/><Relationship Id="rId16" Type="http://schemas.openxmlformats.org/officeDocument/2006/relationships/hyperlink" Target="https://www.nice.org.uk/guidance/ng3" TargetMode="External"/><Relationship Id="rId20" Type="http://schemas.openxmlformats.org/officeDocument/2006/relationships/hyperlink" Target="https://www.digital.nhs.uk/catalogue/pub3002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ice.org.uk/guidance/ta151"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ncbi.nlm.nih.gov/pubmed/2588463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1.docx"/><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218D872C3DA459BB36621E3E0617B" ma:contentTypeVersion="476" ma:contentTypeDescription="Create a new document." ma:contentTypeScope="" ma:versionID="c12a86360b939897b0fec915b1b0d9c5">
  <xsd:schema xmlns:xsd="http://www.w3.org/2001/XMLSchema" xmlns:xs="http://www.w3.org/2001/XMLSchema" xmlns:p="http://schemas.microsoft.com/office/2006/metadata/properties" xmlns:ns2="2b3826a4-e976-47da-ad2b-3be0c0f0d5f0" xmlns:ns3="f34e2be9-1cbf-49ac-ae29-d38c92586a2e" targetNamespace="http://schemas.microsoft.com/office/2006/metadata/properties" ma:root="true" ma:fieldsID="baffc2d5fe5e59a8b05cf45f2cfecfa2" ns2:_="" ns3:_="">
    <xsd:import namespace="2b3826a4-e976-47da-ad2b-3be0c0f0d5f0"/>
    <xsd:import namespace="f34e2be9-1cbf-49ac-ae29-d38c92586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26a4-e976-47da-ad2b-3be0c0f0d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e2be9-1cbf-49ac-ae29-d38c92586a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b3826a4-e976-47da-ad2b-3be0c0f0d5f0">MLCSU-1322550739-227703</_dlc_DocId>
    <_dlc_DocIdUrl xmlns="2b3826a4-e976-47da-ad2b-3be0c0f0d5f0">
      <Url>https://csucloudservices.sharepoint.com/sites/CSU/IFR/_layouts/15/DocIdRedir.aspx?ID=MLCSU-1322550739-227703</Url>
      <Description>MLCSU-1322550739-227703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7DD0-A47D-4623-BB26-C6898407C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826a4-e976-47da-ad2b-3be0c0f0d5f0"/>
    <ds:schemaRef ds:uri="f34e2be9-1cbf-49ac-ae29-d38c92586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1DCF2-244A-4F0E-8592-148CF46A7FA0}">
  <ds:schemaRefs>
    <ds:schemaRef ds:uri="http://schemas.microsoft.com/office/2006/metadata/properties"/>
    <ds:schemaRef ds:uri="http://schemas.microsoft.com/office/infopath/2007/PartnerControls"/>
    <ds:schemaRef ds:uri="2b3826a4-e976-47da-ad2b-3be0c0f0d5f0"/>
  </ds:schemaRefs>
</ds:datastoreItem>
</file>

<file path=customXml/itemProps3.xml><?xml version="1.0" encoding="utf-8"?>
<ds:datastoreItem xmlns:ds="http://schemas.openxmlformats.org/officeDocument/2006/customXml" ds:itemID="{4B7EC866-5FCF-427C-9D57-77ACA597BF7F}">
  <ds:schemaRefs>
    <ds:schemaRef ds:uri="http://schemas.microsoft.com/sharepoint/v3/contenttype/forms"/>
  </ds:schemaRefs>
</ds:datastoreItem>
</file>

<file path=customXml/itemProps4.xml><?xml version="1.0" encoding="utf-8"?>
<ds:datastoreItem xmlns:ds="http://schemas.openxmlformats.org/officeDocument/2006/customXml" ds:itemID="{0DE74528-7897-403D-B76C-4F476990A048}">
  <ds:schemaRefs>
    <ds:schemaRef ds:uri="http://schemas.microsoft.com/sharepoint/events"/>
  </ds:schemaRefs>
</ds:datastoreItem>
</file>

<file path=customXml/itemProps5.xml><?xml version="1.0" encoding="utf-8"?>
<ds:datastoreItem xmlns:ds="http://schemas.openxmlformats.org/officeDocument/2006/customXml" ds:itemID="{C70EDC20-EAC6-4BCD-ACF4-CD781E38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O'Brien</dc:creator>
  <cp:lastModifiedBy>Walker Fran</cp:lastModifiedBy>
  <cp:revision>1</cp:revision>
  <cp:lastPrinted>2019-02-15T10:25:00Z</cp:lastPrinted>
  <dcterms:created xsi:type="dcterms:W3CDTF">2020-01-29T10:55:00Z</dcterms:created>
  <dcterms:modified xsi:type="dcterms:W3CDTF">2020-01-29T10:55:00Z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0x01010026C218D872C3DA459BB36621E3E0617B</vt:lpwstr>
  </property>
  <property fmtid="{D5CDD505-2E9C-101B-9397-08002B2CF9AE}" pid="3" name="_dlc_DocIdItemGuid">
    <vt:lpwstr>8ee90e6e-c16e-494a-8977-4d42f07ed355</vt:lpwstr>
  </property>
</Properties>
</file>